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08" w:rsidRPr="0006133B" w:rsidRDefault="001F3708" w:rsidP="001A0535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3B">
        <w:rPr>
          <w:rFonts w:ascii="Times New Roman" w:hAnsi="Times New Roman" w:cs="Times New Roman"/>
          <w:b/>
          <w:sz w:val="24"/>
          <w:szCs w:val="24"/>
        </w:rPr>
        <w:t>ДОГОВОР ПОСТАВКИ</w:t>
      </w:r>
      <w:r w:rsidRPr="0006133B">
        <w:rPr>
          <w:rFonts w:ascii="Times New Roman" w:hAnsi="Times New Roman" w:cs="Times New Roman"/>
          <w:sz w:val="24"/>
          <w:szCs w:val="24"/>
        </w:rPr>
        <w:t xml:space="preserve"> </w:t>
      </w:r>
      <w:r w:rsidR="00A20DCA">
        <w:rPr>
          <w:rFonts w:ascii="Times New Roman" w:hAnsi="Times New Roman" w:cs="Times New Roman"/>
          <w:b/>
          <w:sz w:val="24"/>
          <w:szCs w:val="24"/>
        </w:rPr>
        <w:t>№ 2015-5925</w:t>
      </w:r>
    </w:p>
    <w:p w:rsidR="00C03ADA" w:rsidRPr="0006133B" w:rsidRDefault="00C03ADA" w:rsidP="00C0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708" w:rsidRPr="0006133B" w:rsidRDefault="001F3708" w:rsidP="00C03A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33B">
        <w:rPr>
          <w:rFonts w:ascii="Times New Roman" w:hAnsi="Times New Roman" w:cs="Times New Roman"/>
          <w:b/>
          <w:sz w:val="24"/>
          <w:szCs w:val="24"/>
        </w:rPr>
        <w:t>г. Сергиев Посад</w:t>
      </w:r>
      <w:r w:rsidRPr="0006133B">
        <w:rPr>
          <w:rFonts w:ascii="Times New Roman" w:hAnsi="Times New Roman" w:cs="Times New Roman"/>
          <w:b/>
          <w:sz w:val="24"/>
          <w:szCs w:val="24"/>
        </w:rPr>
        <w:tab/>
      </w:r>
      <w:r w:rsidRPr="0006133B">
        <w:rPr>
          <w:rFonts w:ascii="Times New Roman" w:hAnsi="Times New Roman" w:cs="Times New Roman"/>
          <w:b/>
          <w:sz w:val="24"/>
          <w:szCs w:val="24"/>
        </w:rPr>
        <w:tab/>
      </w:r>
      <w:r w:rsidRPr="0006133B">
        <w:rPr>
          <w:rFonts w:ascii="Times New Roman" w:hAnsi="Times New Roman" w:cs="Times New Roman"/>
          <w:b/>
          <w:sz w:val="24"/>
          <w:szCs w:val="24"/>
        </w:rPr>
        <w:tab/>
      </w:r>
      <w:r w:rsidRPr="0006133B">
        <w:rPr>
          <w:rFonts w:ascii="Times New Roman" w:hAnsi="Times New Roman" w:cs="Times New Roman"/>
          <w:b/>
          <w:sz w:val="24"/>
          <w:szCs w:val="24"/>
        </w:rPr>
        <w:tab/>
      </w:r>
      <w:r w:rsidRPr="0006133B">
        <w:rPr>
          <w:rFonts w:ascii="Times New Roman" w:hAnsi="Times New Roman" w:cs="Times New Roman"/>
          <w:b/>
          <w:sz w:val="24"/>
          <w:szCs w:val="24"/>
        </w:rPr>
        <w:tab/>
      </w:r>
      <w:r w:rsidRPr="0006133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06133B">
        <w:rPr>
          <w:rFonts w:ascii="Times New Roman" w:hAnsi="Times New Roman" w:cs="Times New Roman"/>
          <w:b/>
          <w:sz w:val="24"/>
          <w:szCs w:val="24"/>
        </w:rPr>
        <w:tab/>
      </w:r>
      <w:r w:rsidR="009F5FA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6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FA8">
        <w:rPr>
          <w:rFonts w:ascii="Times New Roman" w:hAnsi="Times New Roman" w:cs="Times New Roman"/>
          <w:b/>
          <w:sz w:val="24"/>
          <w:szCs w:val="24"/>
        </w:rPr>
        <w:t>«28</w:t>
      </w:r>
      <w:r w:rsidRPr="0006133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5FA8">
        <w:rPr>
          <w:rFonts w:ascii="Times New Roman" w:hAnsi="Times New Roman" w:cs="Times New Roman"/>
          <w:b/>
          <w:sz w:val="24"/>
          <w:szCs w:val="24"/>
        </w:rPr>
        <w:t>апреля</w:t>
      </w:r>
      <w:r w:rsidRPr="0006133B">
        <w:rPr>
          <w:rFonts w:ascii="Times New Roman" w:hAnsi="Times New Roman" w:cs="Times New Roman"/>
          <w:b/>
          <w:sz w:val="24"/>
          <w:szCs w:val="24"/>
        </w:rPr>
        <w:t xml:space="preserve"> 2015г.</w:t>
      </w:r>
    </w:p>
    <w:p w:rsidR="00C03ADA" w:rsidRPr="0006133B" w:rsidRDefault="00C03ADA" w:rsidP="00C03A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708" w:rsidRPr="0006133B" w:rsidRDefault="001F3708" w:rsidP="00C03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Открытое акционерное общество «Федеральный научно-производственный центр «Научно-исследовательский институт прикладной химии»</w:t>
      </w:r>
      <w:r w:rsidR="00DA2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(ОАО «ФНПЦ «НИИ прикладной химии»)</w:t>
      </w:r>
      <w:r w:rsidRPr="0006133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именуемое «Покупатель», в лице</w:t>
      </w:r>
      <w:r w:rsidR="00E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генерального директора по производству – главного инженера Подсобляева Вячеслава Александровича</w:t>
      </w:r>
      <w:r w:rsidRPr="0006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доверенности № </w:t>
      </w:r>
      <w:r w:rsidR="00EA1631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06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E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26.01.2015</w:t>
      </w:r>
      <w:r w:rsidRPr="0006133B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 одной стороны и</w:t>
      </w:r>
      <w:r w:rsidR="00E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Акционерное общество «ФИНВАЛ-Индастри»</w:t>
      </w:r>
      <w:r w:rsidR="00166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(АО «ФИНВАЛ-Индастри»)</w:t>
      </w:r>
      <w:r w:rsidRPr="0006133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именуем</w:t>
      </w:r>
      <w:r w:rsidR="00EA6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0613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661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«Поставщик»</w:t>
      </w:r>
      <w:r w:rsidRPr="000613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  <w:r w:rsidR="005D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директора Ивочкина Владислава Анатольевича</w:t>
      </w:r>
      <w:r w:rsidRPr="0006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5D62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06133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 по результатам</w:t>
      </w:r>
      <w:r w:rsidR="005D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запроса котировок</w:t>
      </w:r>
      <w:r w:rsidRPr="0006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 </w:t>
      </w:r>
      <w:r w:rsidR="005D6284">
        <w:rPr>
          <w:rFonts w:ascii="Times New Roman" w:eastAsia="Times New Roman" w:hAnsi="Times New Roman" w:cs="Times New Roman"/>
          <w:sz w:val="24"/>
          <w:szCs w:val="24"/>
          <w:lang w:eastAsia="ru-RU"/>
        </w:rPr>
        <w:t>31502236162</w:t>
      </w:r>
      <w:r w:rsidRPr="0006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D6284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 2015г.</w:t>
      </w:r>
      <w:r w:rsidRPr="0006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(далее - Договор) о нижеследующем:</w:t>
      </w:r>
    </w:p>
    <w:p w:rsidR="00D1232E" w:rsidRDefault="00D1232E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708" w:rsidRPr="0006133B" w:rsidRDefault="001F3708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3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F3708" w:rsidRPr="0006133B" w:rsidRDefault="002F41D7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1F3708" w:rsidRPr="0006133B">
        <w:rPr>
          <w:rFonts w:ascii="Times New Roman" w:hAnsi="Times New Roman" w:cs="Times New Roman"/>
          <w:sz w:val="24"/>
          <w:szCs w:val="24"/>
        </w:rPr>
        <w:t xml:space="preserve">«Поставщик» обязуется передать в собственность (поставить) «Покупателю» продукцию производственно-технического назначения, именуемую в дальнейшем «Оборудование», в соответствии с номенклатурой, в количестве, комплектности, согласованным сторонами в </w:t>
      </w:r>
      <w:r w:rsidR="005E3F5F">
        <w:rPr>
          <w:rFonts w:ascii="Times New Roman" w:hAnsi="Times New Roman" w:cs="Times New Roman"/>
          <w:sz w:val="24"/>
          <w:szCs w:val="24"/>
        </w:rPr>
        <w:t>техническом задании, являющим</w:t>
      </w:r>
      <w:r w:rsidR="001F3708" w:rsidRPr="0006133B">
        <w:rPr>
          <w:rFonts w:ascii="Times New Roman" w:hAnsi="Times New Roman" w:cs="Times New Roman"/>
          <w:sz w:val="24"/>
          <w:szCs w:val="24"/>
        </w:rPr>
        <w:t>ся неотъемлемой частью настоящего Договора.</w:t>
      </w:r>
      <w:proofErr w:type="gramEnd"/>
      <w:r w:rsidR="001F3708" w:rsidRPr="0006133B">
        <w:rPr>
          <w:rFonts w:ascii="Times New Roman" w:hAnsi="Times New Roman" w:cs="Times New Roman"/>
          <w:sz w:val="24"/>
          <w:szCs w:val="24"/>
        </w:rPr>
        <w:t xml:space="preserve"> «Поставщик» гарантирует «Покупателю», что поставляемое «Оборудование» является новым, принадлежит ему на праве собственности, свободно от прав третьих лиц, в залоге и под арестом не состоит.</w:t>
      </w:r>
    </w:p>
    <w:p w:rsidR="001F3708" w:rsidRPr="0006133B" w:rsidRDefault="002F41D7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1.2. «Поставщик» принимает на себя обязательства произвести пуско-наладочные работы по вводу «Оборудования» в эксплуатацию, а также провести инструктаж персонала «Покупателя» по эксплуатации «Оборудования». </w:t>
      </w:r>
    </w:p>
    <w:p w:rsidR="001F3708" w:rsidRPr="0006133B" w:rsidRDefault="002F41D7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1.3. Все работы производятся «Поставщиком» своими силами, либо с привлечением третьих лиц, при этом вся ответственность за выполнение работы лежит на «Поставщике».</w:t>
      </w:r>
    </w:p>
    <w:p w:rsidR="001F3708" w:rsidRPr="0006133B" w:rsidRDefault="002F41D7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1.4. «Покупатель» обязуется принять поставленное «Оборудование» и произведенные работы и оплатить их в порядке и сроки, обусловленные Договором.</w:t>
      </w:r>
    </w:p>
    <w:p w:rsidR="00D1232E" w:rsidRDefault="00D1232E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708" w:rsidRPr="0006133B" w:rsidRDefault="001F3708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3B">
        <w:rPr>
          <w:rFonts w:ascii="Times New Roman" w:hAnsi="Times New Roman" w:cs="Times New Roman"/>
          <w:b/>
          <w:sz w:val="24"/>
          <w:szCs w:val="24"/>
        </w:rPr>
        <w:t>2. ЦЕНА И ОБЩАЯ СУММА ДОГОВОРА</w:t>
      </w:r>
    </w:p>
    <w:p w:rsidR="00B729FE" w:rsidRPr="0006133B" w:rsidRDefault="00473A11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2.1. </w:t>
      </w:r>
      <w:r w:rsidR="00C8667B" w:rsidRPr="0006133B">
        <w:rPr>
          <w:rFonts w:ascii="Times New Roman" w:hAnsi="Times New Roman" w:cs="Times New Roman"/>
          <w:sz w:val="24"/>
          <w:szCs w:val="24"/>
        </w:rPr>
        <w:t>Общая сумма Договора составляет</w:t>
      </w:r>
      <w:r w:rsidR="00B729FE" w:rsidRPr="0006133B">
        <w:rPr>
          <w:rFonts w:ascii="Times New Roman" w:hAnsi="Times New Roman" w:cs="Times New Roman"/>
          <w:sz w:val="24"/>
          <w:szCs w:val="24"/>
        </w:rPr>
        <w:t xml:space="preserve"> </w:t>
      </w:r>
      <w:r w:rsidR="00641423">
        <w:rPr>
          <w:rFonts w:ascii="Times New Roman" w:hAnsi="Times New Roman" w:cs="Times New Roman"/>
          <w:sz w:val="24"/>
          <w:szCs w:val="24"/>
        </w:rPr>
        <w:t>150 300 (Сто пятьдесят тысяч триста)</w:t>
      </w:r>
      <w:r w:rsidR="00B729FE" w:rsidRPr="0006133B">
        <w:rPr>
          <w:rFonts w:ascii="Times New Roman" w:hAnsi="Times New Roman" w:cs="Times New Roman"/>
          <w:sz w:val="24"/>
          <w:szCs w:val="24"/>
        </w:rPr>
        <w:t xml:space="preserve"> евро</w:t>
      </w:r>
      <w:r w:rsidR="00641423">
        <w:rPr>
          <w:rFonts w:ascii="Times New Roman" w:hAnsi="Times New Roman" w:cs="Times New Roman"/>
          <w:sz w:val="24"/>
          <w:szCs w:val="24"/>
        </w:rPr>
        <w:t xml:space="preserve"> 00 евроцентов</w:t>
      </w:r>
      <w:r w:rsidR="00B729FE" w:rsidRPr="0006133B">
        <w:rPr>
          <w:rFonts w:ascii="Times New Roman" w:hAnsi="Times New Roman" w:cs="Times New Roman"/>
          <w:sz w:val="24"/>
          <w:szCs w:val="24"/>
        </w:rPr>
        <w:t>, в том числе НДС (18%)</w:t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708" w:rsidRPr="0006133B" w:rsidRDefault="00473A11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667B" w:rsidRPr="0006133B">
        <w:rPr>
          <w:rFonts w:ascii="Times New Roman" w:hAnsi="Times New Roman" w:cs="Times New Roman"/>
          <w:sz w:val="24"/>
          <w:szCs w:val="24"/>
        </w:rPr>
        <w:t xml:space="preserve">2.2. </w:t>
      </w:r>
      <w:r w:rsidR="001F3708" w:rsidRPr="0006133B">
        <w:rPr>
          <w:rFonts w:ascii="Times New Roman" w:hAnsi="Times New Roman" w:cs="Times New Roman"/>
          <w:sz w:val="24"/>
          <w:szCs w:val="24"/>
        </w:rPr>
        <w:t>Цена «Оборудования» включает в себя стоимость упаковки, маркировки, погрузки, укладки, крепления «Оборудования» и стоимость необходимых для этого материалов, стоимость страховки, доставки в адрес «Покупателя», стоимость пуско-наладочных работ и инструктажа персонала, гарантийного обслуживания.</w:t>
      </w:r>
    </w:p>
    <w:p w:rsidR="001F3708" w:rsidRPr="0006133B" w:rsidRDefault="00473A11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2.</w:t>
      </w:r>
      <w:r w:rsidR="00C8667B" w:rsidRPr="0006133B">
        <w:rPr>
          <w:rFonts w:ascii="Times New Roman" w:hAnsi="Times New Roman" w:cs="Times New Roman"/>
          <w:sz w:val="24"/>
          <w:szCs w:val="24"/>
        </w:rPr>
        <w:t>3</w:t>
      </w:r>
      <w:r w:rsidR="001F3708" w:rsidRPr="0006133B">
        <w:rPr>
          <w:rFonts w:ascii="Times New Roman" w:hAnsi="Times New Roman" w:cs="Times New Roman"/>
          <w:sz w:val="24"/>
          <w:szCs w:val="24"/>
        </w:rPr>
        <w:t>. Валюта договора – Евро.</w:t>
      </w:r>
    </w:p>
    <w:p w:rsidR="001F3708" w:rsidRPr="0006133B" w:rsidRDefault="00473A11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2.</w:t>
      </w:r>
      <w:r w:rsidR="00C8667B" w:rsidRPr="0006133B">
        <w:rPr>
          <w:rFonts w:ascii="Times New Roman" w:hAnsi="Times New Roman" w:cs="Times New Roman"/>
          <w:sz w:val="24"/>
          <w:szCs w:val="24"/>
        </w:rPr>
        <w:t>4</w:t>
      </w:r>
      <w:r w:rsidR="001F3708" w:rsidRPr="0006133B">
        <w:rPr>
          <w:rFonts w:ascii="Times New Roman" w:hAnsi="Times New Roman" w:cs="Times New Roman"/>
          <w:sz w:val="24"/>
          <w:szCs w:val="24"/>
        </w:rPr>
        <w:t>. Цена «Оборудования» и стоимость работ согласно п. 2.1 остаются неизменными на весь период действия Договора.</w:t>
      </w:r>
    </w:p>
    <w:p w:rsidR="00D1232E" w:rsidRDefault="00D1232E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708" w:rsidRPr="0006133B" w:rsidRDefault="001F3708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3B">
        <w:rPr>
          <w:rFonts w:ascii="Times New Roman" w:hAnsi="Times New Roman" w:cs="Times New Roman"/>
          <w:b/>
          <w:sz w:val="24"/>
          <w:szCs w:val="24"/>
        </w:rPr>
        <w:t>3. КАЧЕСТВО ПРОДУКЦИИ, ГАРАНТИИ</w:t>
      </w:r>
    </w:p>
    <w:p w:rsidR="001F3708" w:rsidRPr="0006133B" w:rsidRDefault="005427EF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3.1. Качество и комплектность поставляемого «Оборудования» должны соответствовать техническим условиям завода-изготовителя. </w:t>
      </w:r>
    </w:p>
    <w:p w:rsidR="001F3708" w:rsidRPr="0006133B" w:rsidRDefault="005427EF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3.2. Приемка «Оборудования» по качеству и комплектности осуществляется «Покупателем» в соответствии с Инструкцией № П-7 от 25.04.1966г. «О порядке приемки продукции производственно-технического назначения и товаров народного потребления по качеству», утвержденной Постановлением Госарбитража при Совете Министров СССР с изменениями, внесенными Постановлением Пленума ВАС РФ от 22.10.1997 г. № 18. Вызов представителя «Поставщика» обязателен.</w:t>
      </w:r>
    </w:p>
    <w:p w:rsidR="001F3708" w:rsidRPr="0006133B" w:rsidRDefault="005427EF" w:rsidP="00C03AD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3.3. Гарантийный период на поставляемое «Оборудование» </w:t>
      </w:r>
      <w:r w:rsidR="00C8667B" w:rsidRPr="0006133B">
        <w:rPr>
          <w:rFonts w:ascii="Times New Roman" w:hAnsi="Times New Roman" w:cs="Times New Roman"/>
          <w:sz w:val="24"/>
          <w:szCs w:val="24"/>
        </w:rPr>
        <w:t>составляет 12</w:t>
      </w:r>
      <w:r w:rsidR="00076058" w:rsidRPr="0006133B">
        <w:rPr>
          <w:rFonts w:ascii="Times New Roman" w:hAnsi="Times New Roman" w:cs="Times New Roman"/>
          <w:sz w:val="24"/>
          <w:szCs w:val="24"/>
        </w:rPr>
        <w:t xml:space="preserve"> (двенадцать)</w:t>
      </w:r>
      <w:r w:rsidR="00C8667B" w:rsidRPr="0006133B">
        <w:rPr>
          <w:rFonts w:ascii="Times New Roman" w:hAnsi="Times New Roman" w:cs="Times New Roman"/>
          <w:sz w:val="24"/>
          <w:szCs w:val="24"/>
        </w:rPr>
        <w:t xml:space="preserve"> месяцев и исчисляется от даты ввода «Оборудования» в эксплуатацию, однако не более 13 </w:t>
      </w:r>
      <w:r w:rsidR="00C8667B" w:rsidRPr="0006133B">
        <w:rPr>
          <w:rFonts w:ascii="Times New Roman" w:hAnsi="Times New Roman" w:cs="Times New Roman"/>
          <w:sz w:val="24"/>
          <w:szCs w:val="24"/>
        </w:rPr>
        <w:lastRenderedPageBreak/>
        <w:t>месяцев от даты фактической поставки на склад «Покупателя» и при условии соблюдения «Покупателем» правил хранения, технического обслуживания и эксплуатации, изложенных в передаваемой с «Оборудованием» эксплуатационной документации)</w:t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058" w:rsidRPr="0006133B" w:rsidRDefault="00076058" w:rsidP="00C03AD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232E" w:rsidRDefault="00D1232E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708" w:rsidRPr="0006133B" w:rsidRDefault="001F3708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3B">
        <w:rPr>
          <w:rFonts w:ascii="Times New Roman" w:hAnsi="Times New Roman" w:cs="Times New Roman"/>
          <w:b/>
          <w:sz w:val="24"/>
          <w:szCs w:val="24"/>
        </w:rPr>
        <w:t>4. ПОРЯДОК И ФОРМА РАСЧЕТОВ</w:t>
      </w:r>
    </w:p>
    <w:p w:rsidR="001F3708" w:rsidRPr="0006133B" w:rsidRDefault="005427EF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4.1. Расчеты по настоящему Договору производятся в рублях</w:t>
      </w:r>
      <w:r w:rsidR="001C729C" w:rsidRPr="0006133B">
        <w:rPr>
          <w:rFonts w:ascii="Times New Roman" w:hAnsi="Times New Roman" w:cs="Times New Roman"/>
          <w:sz w:val="24"/>
          <w:szCs w:val="24"/>
        </w:rPr>
        <w:t>,</w:t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 по курсу ЦБ РФ на день оплаты по безналичному расчету путем перечисления денежных средств на расчетный счет «Поставщика».</w:t>
      </w:r>
    </w:p>
    <w:p w:rsidR="003A3A7C" w:rsidRPr="0006133B" w:rsidRDefault="005427EF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4.2. </w:t>
      </w:r>
      <w:r w:rsidR="00DA1DFC">
        <w:rPr>
          <w:rFonts w:ascii="Times New Roman" w:hAnsi="Times New Roman" w:cs="Times New Roman"/>
          <w:sz w:val="24"/>
          <w:szCs w:val="24"/>
        </w:rPr>
        <w:t>Оплата производится в три этапа:</w:t>
      </w:r>
    </w:p>
    <w:p w:rsidR="003A3A7C" w:rsidRPr="0006133B" w:rsidRDefault="003A3A7C" w:rsidP="005427EF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 xml:space="preserve">аванс – в размере </w:t>
      </w:r>
      <w:r w:rsidR="00907C19" w:rsidRPr="0006133B">
        <w:rPr>
          <w:rFonts w:ascii="Times New Roman" w:hAnsi="Times New Roman" w:cs="Times New Roman"/>
          <w:sz w:val="24"/>
          <w:szCs w:val="24"/>
        </w:rPr>
        <w:t>5</w:t>
      </w:r>
      <w:r w:rsidRPr="0006133B">
        <w:rPr>
          <w:rFonts w:ascii="Times New Roman" w:hAnsi="Times New Roman" w:cs="Times New Roman"/>
          <w:sz w:val="24"/>
          <w:szCs w:val="24"/>
        </w:rPr>
        <w:t>0%, в течение 3-х рабочих дней с момента выставления счета, счет выставляется в течение 5 рабочих дней с момента заключен</w:t>
      </w:r>
      <w:r w:rsidR="00DA1DFC">
        <w:rPr>
          <w:rFonts w:ascii="Times New Roman" w:hAnsi="Times New Roman" w:cs="Times New Roman"/>
          <w:sz w:val="24"/>
          <w:szCs w:val="24"/>
        </w:rPr>
        <w:t>ия Договора;</w:t>
      </w:r>
    </w:p>
    <w:p w:rsidR="003A3A7C" w:rsidRPr="0006133B" w:rsidRDefault="003A3A7C" w:rsidP="005427EF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 xml:space="preserve">оплата в размере </w:t>
      </w:r>
      <w:r w:rsidR="00907C19" w:rsidRPr="0006133B">
        <w:rPr>
          <w:rFonts w:ascii="Times New Roman" w:hAnsi="Times New Roman" w:cs="Times New Roman"/>
          <w:sz w:val="24"/>
          <w:szCs w:val="24"/>
        </w:rPr>
        <w:t>4</w:t>
      </w:r>
      <w:r w:rsidRPr="0006133B">
        <w:rPr>
          <w:rFonts w:ascii="Times New Roman" w:hAnsi="Times New Roman" w:cs="Times New Roman"/>
          <w:sz w:val="24"/>
          <w:szCs w:val="24"/>
        </w:rPr>
        <w:t>0% после получения извещения и выставления счета о готовности отгрузки товара на склад Заказчика в течение 3 (трех) рабочих дн</w:t>
      </w:r>
      <w:r w:rsidR="00DA1DFC">
        <w:rPr>
          <w:rFonts w:ascii="Times New Roman" w:hAnsi="Times New Roman" w:cs="Times New Roman"/>
          <w:sz w:val="24"/>
          <w:szCs w:val="24"/>
        </w:rPr>
        <w:t>ей с момента выставления счета;</w:t>
      </w:r>
    </w:p>
    <w:p w:rsidR="003A3A7C" w:rsidRPr="0006133B" w:rsidRDefault="003A3A7C" w:rsidP="005427EF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 xml:space="preserve">оплата в размере 10% - в течение 10 (десяти) рабочих дней после проведения пуско-наладочных работ и подписания акта выполненных работ. </w:t>
      </w:r>
    </w:p>
    <w:p w:rsidR="001F3708" w:rsidRPr="0006133B" w:rsidRDefault="005427EF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4.3. Днем оплаты считается день поступления денежных средств на расчетный счет «Поставщика». Обязательства «Покупателя» по оплате считаются исполненными с момента поступления денежных средств на расчетный счет «Поставщика».</w:t>
      </w:r>
    </w:p>
    <w:p w:rsidR="001F3708" w:rsidRPr="0006133B" w:rsidRDefault="005427EF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4.4. Стороны могут избрать другой порядок и форму оплаты, согласовав эти условия дополнительно.</w:t>
      </w:r>
    </w:p>
    <w:p w:rsidR="00D1232E" w:rsidRDefault="00D1232E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708" w:rsidRPr="0006133B" w:rsidRDefault="001F3708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3B">
        <w:rPr>
          <w:rFonts w:ascii="Times New Roman" w:hAnsi="Times New Roman" w:cs="Times New Roman"/>
          <w:b/>
          <w:sz w:val="24"/>
          <w:szCs w:val="24"/>
        </w:rPr>
        <w:t>5. СРОКИ И УСЛОВИЯ ПОСТАВКИ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5.1. Срок поставки «Оборудования» </w:t>
      </w:r>
      <w:r w:rsidR="00076058" w:rsidRPr="0006133B">
        <w:rPr>
          <w:rFonts w:ascii="Times New Roman" w:hAnsi="Times New Roman" w:cs="Times New Roman"/>
          <w:sz w:val="24"/>
          <w:szCs w:val="24"/>
        </w:rPr>
        <w:t xml:space="preserve">- в течение 30 (тридцати) календарных дней </w:t>
      </w:r>
      <w:proofErr w:type="gramStart"/>
      <w:r w:rsidR="00076058" w:rsidRPr="0006133B">
        <w:rPr>
          <w:rFonts w:ascii="Times New Roman" w:hAnsi="Times New Roman" w:cs="Times New Roman"/>
          <w:sz w:val="24"/>
          <w:szCs w:val="24"/>
        </w:rPr>
        <w:t>с даты перечисления</w:t>
      </w:r>
      <w:proofErr w:type="gramEnd"/>
      <w:r w:rsidR="00076058" w:rsidRPr="0006133B">
        <w:rPr>
          <w:rFonts w:ascii="Times New Roman" w:hAnsi="Times New Roman" w:cs="Times New Roman"/>
          <w:sz w:val="24"/>
          <w:szCs w:val="24"/>
        </w:rPr>
        <w:t xml:space="preserve"> первого авансового платежа за товар. </w:t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Досрочная поставка может быть осуществлена без согласования с «Покупателем», частичная поставка допускается в согласованных между сторонами объемах и сроки, и оформляется протоколом, являющимся неотъемлемой частью Договора. 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5.2. Датой поставки считается дата фактической передачи «Оборудования» перевозчиком «Покупателю» с подписанием товаросопроводительных документов.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5.3. В день поставки «Покупатель» обязан проинформировать по факсу «Поставщика» о результатах внешнего осмотра поставленного «Оборудования».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5.4. В случае обнаружения «Покупателем» в момент доставки и разгрузки «Оборудования» нарушения упаковки, наличия визуально определяемых механических повреждений, утраты его товарного вида и т.п. «Покупатель» обязан: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-  известить  любыми средствами связи «Поставщика» об этом;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- составить и подписать двусторонний акт между представителем «Покупателя» и представителем «Перевозчика» в лице водителя-перевозчика и отправить этот документ в адрес «Поставщика» факсимильной связью;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- сделать об этом отметку в транспортном документе «Перевозчика» (водителя) с указанием фамилии и должности лица, сделавшего эту отметку. 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В случае отсутствия на транспортном документе отметки об обнаруженных недостатках и подписи водителя на  составленном акте последующие претензии «Покупателя» не рассматриваются.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5.5. «Оборудование» должно сопровождаться следующими документами: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1) товарная накладная по унифицированной форме «ТОРГ-12»;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2) счет-фактура.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="001F3708" w:rsidRPr="0006133B">
        <w:rPr>
          <w:rFonts w:ascii="Times New Roman" w:hAnsi="Times New Roman" w:cs="Times New Roman"/>
          <w:sz w:val="24"/>
          <w:szCs w:val="24"/>
        </w:rPr>
        <w:t>Приемка «Оборудования» (распаковка, осмотр, проверка комплектности и т.д.) производится «Покупателем» с участием представителя «Поставщика» в течение не более 5 дней с даты поставки «Оборудования» (п. 5.2. настоящего Договора).</w:t>
      </w:r>
      <w:proofErr w:type="gramEnd"/>
      <w:r w:rsidR="001F3708" w:rsidRPr="0006133B">
        <w:rPr>
          <w:rFonts w:ascii="Times New Roman" w:hAnsi="Times New Roman" w:cs="Times New Roman"/>
          <w:sz w:val="24"/>
          <w:szCs w:val="24"/>
        </w:rPr>
        <w:t xml:space="preserve"> По результатам приемки стороны подписывают «Акт приемки «Оборудования»</w:t>
      </w:r>
      <w:r w:rsidR="00076058" w:rsidRPr="0006133B">
        <w:rPr>
          <w:rFonts w:ascii="Times New Roman" w:hAnsi="Times New Roman" w:cs="Times New Roman"/>
          <w:sz w:val="24"/>
          <w:szCs w:val="24"/>
        </w:rPr>
        <w:t xml:space="preserve"> по количеству и комплектности»</w:t>
      </w:r>
      <w:r w:rsidR="001F3708" w:rsidRPr="0006133B">
        <w:rPr>
          <w:rFonts w:ascii="Times New Roman" w:hAnsi="Times New Roman" w:cs="Times New Roman"/>
          <w:sz w:val="24"/>
          <w:szCs w:val="24"/>
        </w:rPr>
        <w:t>.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5.7. Переход права собственности и всех рисков от «Поставщика» к «Покупателю» происходит </w:t>
      </w:r>
      <w:proofErr w:type="gramStart"/>
      <w:r w:rsidR="001F3708" w:rsidRPr="0006133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1F3708" w:rsidRPr="0006133B">
        <w:rPr>
          <w:rFonts w:ascii="Times New Roman" w:hAnsi="Times New Roman" w:cs="Times New Roman"/>
          <w:sz w:val="24"/>
          <w:szCs w:val="24"/>
        </w:rPr>
        <w:t xml:space="preserve"> фактической поставки «Оборудования».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5.8. «Поставщик» обязуется поставить в адрес «Покупателя» стандартный комплект технической</w:t>
      </w:r>
      <w:r w:rsidR="00076058" w:rsidRPr="0006133B">
        <w:rPr>
          <w:rFonts w:ascii="Times New Roman" w:hAnsi="Times New Roman" w:cs="Times New Roman"/>
          <w:sz w:val="24"/>
          <w:szCs w:val="24"/>
        </w:rPr>
        <w:t xml:space="preserve"> документации на русском языке. 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="001F3708" w:rsidRPr="0006133B">
        <w:rPr>
          <w:rFonts w:ascii="Times New Roman" w:hAnsi="Times New Roman" w:cs="Times New Roman"/>
          <w:sz w:val="24"/>
          <w:szCs w:val="24"/>
        </w:rPr>
        <w:t>Доставка «Оборудования» осуществляется до склада «Покупателя» по адресу: 141313, Московская обл., г. Сергиев Посад, ул. Академика Силина, д. 3, ОАО «ФНПЦ «НИИ прикладной химии».</w:t>
      </w:r>
      <w:proofErr w:type="gramEnd"/>
      <w:r w:rsidR="001F3708" w:rsidRPr="0006133B">
        <w:rPr>
          <w:rFonts w:ascii="Times New Roman" w:hAnsi="Times New Roman" w:cs="Times New Roman"/>
          <w:sz w:val="24"/>
          <w:szCs w:val="24"/>
        </w:rPr>
        <w:t xml:space="preserve"> Разгрузка «Оборудования» с автотранспортного средства и установка его на постоянное место производится силами и средствами «Покупателя». </w:t>
      </w:r>
    </w:p>
    <w:p w:rsidR="00D1232E" w:rsidRDefault="00D1232E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708" w:rsidRPr="0006133B" w:rsidRDefault="001F3708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3B">
        <w:rPr>
          <w:rFonts w:ascii="Times New Roman" w:hAnsi="Times New Roman" w:cs="Times New Roman"/>
          <w:b/>
          <w:sz w:val="24"/>
          <w:szCs w:val="24"/>
        </w:rPr>
        <w:t>6. УПАКОВКА И МАРКИРОВКА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6.1. Упаковка, маркировка, консервация «Оборудования» должны соответствовать характеру поставляемого «Оборудования» и обеспечить его полную сохранность от повреждения и коррозии с учетом нескольких перегрузок в пути.</w:t>
      </w:r>
    </w:p>
    <w:p w:rsidR="001F3708" w:rsidRPr="0006133B" w:rsidRDefault="00DA1DFC" w:rsidP="00DA1DF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6.2. Упаковка груза, требующего специального обращения, должна иметь дополнительную маркировку:</w:t>
      </w:r>
    </w:p>
    <w:p w:rsidR="001F3708" w:rsidRPr="0006133B" w:rsidRDefault="001F3708" w:rsidP="00C03ADA">
      <w:pPr>
        <w:pStyle w:val="a9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 xml:space="preserve">                                    Верх, </w:t>
      </w:r>
    </w:p>
    <w:p w:rsidR="001F3708" w:rsidRPr="0006133B" w:rsidRDefault="001F3708" w:rsidP="00C03ADA">
      <w:pPr>
        <w:pStyle w:val="a9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 xml:space="preserve">                                    Осторожно,</w:t>
      </w:r>
    </w:p>
    <w:p w:rsidR="001F3708" w:rsidRPr="0006133B" w:rsidRDefault="001F3708" w:rsidP="00C03ADA">
      <w:pPr>
        <w:pStyle w:val="a9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 xml:space="preserve">                                    Не кантовать.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Допускается выполнение маркировки на </w:t>
      </w:r>
      <w:proofErr w:type="gramStart"/>
      <w:r w:rsidR="001F3708" w:rsidRPr="0006133B">
        <w:rPr>
          <w:rFonts w:ascii="Times New Roman" w:hAnsi="Times New Roman" w:cs="Times New Roman"/>
          <w:sz w:val="24"/>
          <w:szCs w:val="24"/>
        </w:rPr>
        <w:t>английском</w:t>
      </w:r>
      <w:proofErr w:type="gramEnd"/>
      <w:r w:rsidR="001F3708" w:rsidRPr="0006133B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6.3. «Поставщик» несет ответственность перед «Покупателем» за порчу, повреждение или поломку «Оборудования» вследствие ненадлежащей упаковки, маркировки, консервации, и в таком случае «Поставщик» устраняет дефекты за свой счет.</w:t>
      </w:r>
    </w:p>
    <w:p w:rsidR="001F3708" w:rsidRPr="0006133B" w:rsidRDefault="00DA1DFC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="001F3708" w:rsidRPr="0006133B">
        <w:rPr>
          <w:rFonts w:ascii="Times New Roman" w:hAnsi="Times New Roman" w:cs="Times New Roman"/>
          <w:sz w:val="24"/>
          <w:szCs w:val="24"/>
        </w:rPr>
        <w:t>С даты поставки</w:t>
      </w:r>
      <w:proofErr w:type="gramEnd"/>
      <w:r w:rsidR="001F3708" w:rsidRPr="0006133B">
        <w:rPr>
          <w:rFonts w:ascii="Times New Roman" w:hAnsi="Times New Roman" w:cs="Times New Roman"/>
          <w:sz w:val="24"/>
          <w:szCs w:val="24"/>
        </w:rPr>
        <w:t xml:space="preserve"> «Оборудования» «Покупатель» обязан содержать «Оборудование» в охраняемом помещении, «Покупатель» несет ответственность за повреждения и последствия ненадлежащих условий хранения «Оборудования», включая хранение под открытым небом, а также длительное хранение в условиях неотапливаемых помещений в зимнее время года.</w:t>
      </w:r>
    </w:p>
    <w:p w:rsidR="00D1232E" w:rsidRDefault="00D1232E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708" w:rsidRPr="0006133B" w:rsidRDefault="001F3708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3B">
        <w:rPr>
          <w:rFonts w:ascii="Times New Roman" w:hAnsi="Times New Roman" w:cs="Times New Roman"/>
          <w:b/>
          <w:sz w:val="24"/>
          <w:szCs w:val="24"/>
        </w:rPr>
        <w:t>7. ОБЩИЕ ПОЛОЖЕНИЯ О ПОРЯДКЕ ПРОВЕДЕНИЯ ПУСКО-НАЛАДОЧНЫХ РАБОТ</w:t>
      </w:r>
    </w:p>
    <w:p w:rsidR="001F3708" w:rsidRPr="0006133B" w:rsidRDefault="0069474A" w:rsidP="006947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7.1. Пуско-наладочные работы и инструктаж персонала «Покупателя» по эксплуатации «Оборудования» производятся представителями «Поставщика» согласно Акт</w:t>
      </w:r>
      <w:r w:rsidR="00076058" w:rsidRPr="0006133B">
        <w:rPr>
          <w:rFonts w:ascii="Times New Roman" w:hAnsi="Times New Roman" w:cs="Times New Roman"/>
          <w:sz w:val="24"/>
          <w:szCs w:val="24"/>
        </w:rPr>
        <w:t>у</w:t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 ввода оборудования в эксплуатацию. </w:t>
      </w:r>
    </w:p>
    <w:p w:rsidR="001F3708" w:rsidRPr="0006133B" w:rsidRDefault="0069474A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7.2. Место проведения пуско-наладочных работ:141313, Московская обл., г. Сергиев Посад, ул. Академика Силина, д. 3, ОАО «ФНПЦ «НИИ прикладной химии».</w:t>
      </w:r>
    </w:p>
    <w:p w:rsidR="001F3708" w:rsidRPr="0006133B" w:rsidRDefault="0069474A" w:rsidP="00C03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7.3. «Покупатель» обязан направить «Поставщику» уведомление в виде </w:t>
      </w:r>
      <w:r w:rsidR="00076058" w:rsidRPr="0006133B">
        <w:rPr>
          <w:rFonts w:ascii="Times New Roman" w:hAnsi="Times New Roman" w:cs="Times New Roman"/>
          <w:sz w:val="24"/>
          <w:szCs w:val="24"/>
        </w:rPr>
        <w:t>заявки</w:t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 о готовности «Оборудования» к проведению пуско-наладочных работ,</w:t>
      </w:r>
      <w:r w:rsidR="001F3708" w:rsidRPr="0006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а так же фотографий «Оборудования» на месте постоянной установки и </w:t>
      </w:r>
      <w:proofErr w:type="gramStart"/>
      <w:r w:rsidR="001F3708" w:rsidRPr="0006133B"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 w:rsidR="001F3708" w:rsidRPr="0006133B">
        <w:rPr>
          <w:rFonts w:ascii="Times New Roman" w:hAnsi="Times New Roman" w:cs="Times New Roman"/>
          <w:sz w:val="24"/>
          <w:szCs w:val="24"/>
        </w:rPr>
        <w:t xml:space="preserve"> указанных в Договоре коммуникаций</w:t>
      </w:r>
      <w:r w:rsidR="001F3708" w:rsidRPr="0006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не позднее 15 календарных дней с даты фактической поставки «Оборудования» «Покупателю». В противном случае дата начала гарантийных обязательств «Поставщика» считается 16-й календарный день </w:t>
      </w:r>
      <w:proofErr w:type="gramStart"/>
      <w:r w:rsidR="001F3708" w:rsidRPr="0006133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1F3708" w:rsidRPr="0006133B">
        <w:rPr>
          <w:rFonts w:ascii="Times New Roman" w:hAnsi="Times New Roman" w:cs="Times New Roman"/>
          <w:sz w:val="24"/>
          <w:szCs w:val="24"/>
        </w:rPr>
        <w:t xml:space="preserve"> фактической поставки «Оборудования» на склад «Покупателя».</w:t>
      </w:r>
    </w:p>
    <w:p w:rsidR="001F3708" w:rsidRPr="0006133B" w:rsidRDefault="0069474A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7.4. «Поставщик» приступает к пуско-наладочным работам по вводу «Оборудования» в эксплуатацию в течение 15 календарных дней с момента получен</w:t>
      </w:r>
      <w:r w:rsidR="00076058" w:rsidRPr="0006133B">
        <w:rPr>
          <w:rFonts w:ascii="Times New Roman" w:hAnsi="Times New Roman" w:cs="Times New Roman"/>
          <w:sz w:val="24"/>
          <w:szCs w:val="24"/>
        </w:rPr>
        <w:t>ия по факсу уведомления в виде з</w:t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аявки «Покупателя» о готовности «Оборудования» к проведению пуско-наладочных работ. В случае неисполнения «Покупателем» своих обязательств по оплате «Оборудования» «Поставщик» вправе отложить выполнение пуско-наладочных работ до момента полного погашения «Покупателем» имеющейся задолженности. В случае несоблюдения «Покупателем» сроков подачи Заявки «Поставщик» имеет право продлить сроки начала выполнения пуско-наладочных работ до 30 календарных  дней с момента получения </w:t>
      </w:r>
      <w:r w:rsidR="00076058" w:rsidRPr="0006133B">
        <w:rPr>
          <w:rFonts w:ascii="Times New Roman" w:hAnsi="Times New Roman" w:cs="Times New Roman"/>
          <w:sz w:val="24"/>
          <w:szCs w:val="24"/>
        </w:rPr>
        <w:t>З</w:t>
      </w:r>
      <w:r w:rsidR="001F3708" w:rsidRPr="0006133B">
        <w:rPr>
          <w:rFonts w:ascii="Times New Roman" w:hAnsi="Times New Roman" w:cs="Times New Roman"/>
          <w:sz w:val="24"/>
          <w:szCs w:val="24"/>
        </w:rPr>
        <w:t>аявки. В случае</w:t>
      </w:r>
      <w:proofErr w:type="gramStart"/>
      <w:r w:rsidR="001F3708" w:rsidRPr="0006133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F3708" w:rsidRPr="0006133B">
        <w:rPr>
          <w:rFonts w:ascii="Times New Roman" w:hAnsi="Times New Roman" w:cs="Times New Roman"/>
          <w:sz w:val="24"/>
          <w:szCs w:val="24"/>
        </w:rPr>
        <w:t xml:space="preserve"> если «Покупатель» в течение 60 календарных дней с даты поставки «Оборудования» не направляет «Поставщику» Заявку на проведение пуско-наладочных работ», то «Покупатель» обязан по истечении указанного срока осуществить оставшиеся платежи  по Договору.</w:t>
      </w:r>
    </w:p>
    <w:p w:rsidR="001F3708" w:rsidRPr="0006133B" w:rsidRDefault="0069474A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7.5. Для проведения пуско-наладочных работ  «Покупатель» обязан:</w:t>
      </w:r>
    </w:p>
    <w:p w:rsidR="001F3708" w:rsidRPr="0006133B" w:rsidRDefault="001F3708" w:rsidP="0072111D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lastRenderedPageBreak/>
        <w:t>Обеспечить готовность фундамента или места для монтажа «Оборудования» в соответствии с требованиями и планировками зав</w:t>
      </w:r>
      <w:r w:rsidR="0072111D">
        <w:rPr>
          <w:rFonts w:ascii="Times New Roman" w:hAnsi="Times New Roman" w:cs="Times New Roman"/>
          <w:sz w:val="24"/>
          <w:szCs w:val="24"/>
        </w:rPr>
        <w:t>ода-изготовителя «Оборудования»;</w:t>
      </w:r>
    </w:p>
    <w:p w:rsidR="001F3708" w:rsidRPr="0006133B" w:rsidRDefault="001F3708" w:rsidP="0072111D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>Обеспечить соответствие характеристик помещения, в котором будет установлено «Оборудование», требованиям завода-изготовителя, указанным в инструкции по эксплуатации. Документация, необходимая для подготовки к выполнению пуско-наладочных работ поставляется в течение 30</w:t>
      </w:r>
      <w:r w:rsidRPr="0006133B">
        <w:rPr>
          <w:rFonts w:ascii="Times New Roman" w:hAnsi="Times New Roman" w:cs="Times New Roman"/>
          <w:color w:val="FFFFFF"/>
          <w:sz w:val="24"/>
          <w:szCs w:val="24"/>
        </w:rPr>
        <w:t>3</w:t>
      </w:r>
      <w:r w:rsidRPr="0006133B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proofErr w:type="gramStart"/>
      <w:r w:rsidRPr="0006133B">
        <w:rPr>
          <w:rFonts w:ascii="Times New Roman" w:hAnsi="Times New Roman" w:cs="Times New Roman"/>
          <w:sz w:val="24"/>
          <w:szCs w:val="24"/>
        </w:rPr>
        <w:t>с даты перечисления</w:t>
      </w:r>
      <w:proofErr w:type="gramEnd"/>
      <w:r w:rsidRPr="0006133B">
        <w:rPr>
          <w:rFonts w:ascii="Times New Roman" w:hAnsi="Times New Roman" w:cs="Times New Roman"/>
          <w:sz w:val="24"/>
          <w:szCs w:val="24"/>
        </w:rPr>
        <w:t xml:space="preserve"> первого авансового платежа «Покупателем</w:t>
      </w:r>
      <w:r w:rsidR="0072111D">
        <w:rPr>
          <w:rFonts w:ascii="Times New Roman" w:hAnsi="Times New Roman" w:cs="Times New Roman"/>
          <w:sz w:val="24"/>
          <w:szCs w:val="24"/>
        </w:rPr>
        <w:t>»;</w:t>
      </w:r>
    </w:p>
    <w:p w:rsidR="001F3708" w:rsidRPr="0006133B" w:rsidRDefault="001F3708" w:rsidP="0072111D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>Обеспечить подвод необходимых коммуникаций в соответствии с техническими требованиями завода-изготовителя и общим планом расположения «Оборудования», а именно:</w:t>
      </w:r>
    </w:p>
    <w:p w:rsidR="001F3708" w:rsidRPr="0006133B" w:rsidRDefault="001F3708" w:rsidP="0072111D">
      <w:pPr>
        <w:tabs>
          <w:tab w:val="num" w:pos="720"/>
          <w:tab w:val="left" w:pos="993"/>
        </w:tabs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>- электроэнергии;</w:t>
      </w:r>
    </w:p>
    <w:p w:rsidR="001F3708" w:rsidRPr="0006133B" w:rsidRDefault="001F3708" w:rsidP="0072111D">
      <w:pPr>
        <w:tabs>
          <w:tab w:val="num" w:pos="720"/>
          <w:tab w:val="left" w:pos="993"/>
        </w:tabs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 xml:space="preserve">- сжатого воздуха и т.п.;    </w:t>
      </w:r>
    </w:p>
    <w:p w:rsidR="001F3708" w:rsidRPr="0006133B" w:rsidRDefault="001F3708" w:rsidP="0072111D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>Обеспечить разгрузку «Оборудования» и установку н</w:t>
      </w:r>
      <w:r w:rsidR="0072111D">
        <w:rPr>
          <w:rFonts w:ascii="Times New Roman" w:hAnsi="Times New Roman" w:cs="Times New Roman"/>
          <w:sz w:val="24"/>
          <w:szCs w:val="24"/>
        </w:rPr>
        <w:t>а постоянное место эксплуатации;</w:t>
      </w:r>
    </w:p>
    <w:p w:rsidR="001F3708" w:rsidRPr="0006133B" w:rsidRDefault="001F3708" w:rsidP="0072111D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>Обеспечить наличие необходимых масел, специальных технических жидкостей,  СОЖ  в соответствии с рекомендациями завода-изготовител</w:t>
      </w:r>
      <w:r w:rsidR="0072111D">
        <w:rPr>
          <w:rFonts w:ascii="Times New Roman" w:hAnsi="Times New Roman" w:cs="Times New Roman"/>
          <w:sz w:val="24"/>
          <w:szCs w:val="24"/>
        </w:rPr>
        <w:t>я «Оборудования» и «Поставщика»;</w:t>
      </w:r>
    </w:p>
    <w:p w:rsidR="001F3708" w:rsidRPr="0006133B" w:rsidRDefault="001F3708" w:rsidP="0072111D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>Обеспечить наличие необходимого  вспомогательного, измерительного</w:t>
      </w:r>
      <w:r w:rsidR="00076058" w:rsidRPr="0006133B">
        <w:rPr>
          <w:rFonts w:ascii="Times New Roman" w:hAnsi="Times New Roman" w:cs="Times New Roman"/>
          <w:sz w:val="24"/>
          <w:szCs w:val="24"/>
        </w:rPr>
        <w:t xml:space="preserve"> </w:t>
      </w:r>
      <w:r w:rsidRPr="0006133B">
        <w:rPr>
          <w:rFonts w:ascii="Times New Roman" w:hAnsi="Times New Roman" w:cs="Times New Roman"/>
          <w:sz w:val="24"/>
          <w:szCs w:val="24"/>
        </w:rPr>
        <w:t>инструмента и других контрольно-измерительных приборов в соответствии с рекомендациями завода-изготовителя</w:t>
      </w:r>
      <w:r w:rsidR="0072111D">
        <w:rPr>
          <w:rFonts w:ascii="Times New Roman" w:hAnsi="Times New Roman" w:cs="Times New Roman"/>
          <w:sz w:val="24"/>
          <w:szCs w:val="24"/>
        </w:rPr>
        <w:t xml:space="preserve"> «Оборудования» и «Поставщика»;</w:t>
      </w:r>
    </w:p>
    <w:p w:rsidR="001F3708" w:rsidRPr="0006133B" w:rsidRDefault="001F3708" w:rsidP="0072111D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>Выделить квалифицированный вспомогательный персонал (электрики, механики, слесари и т.д.) в необходимом количестве в соответствии с требованиями представителей «Поставщика», выпо</w:t>
      </w:r>
      <w:r w:rsidR="0072111D">
        <w:rPr>
          <w:rFonts w:ascii="Times New Roman" w:hAnsi="Times New Roman" w:cs="Times New Roman"/>
          <w:sz w:val="24"/>
          <w:szCs w:val="24"/>
        </w:rPr>
        <w:t>лняющих пуско-наладочные работы;</w:t>
      </w:r>
    </w:p>
    <w:p w:rsidR="001F3708" w:rsidRPr="0006133B" w:rsidRDefault="001F3708" w:rsidP="0072111D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>Назначить своего представителя, ответственного за проведение пуско-наладочных работ со стороны «Покупателя», и обеспечить его присутствие на месте проведения пуско-наладочных работ в те</w:t>
      </w:r>
      <w:r w:rsidR="0072111D">
        <w:rPr>
          <w:rFonts w:ascii="Times New Roman" w:hAnsi="Times New Roman" w:cs="Times New Roman"/>
          <w:sz w:val="24"/>
          <w:szCs w:val="24"/>
        </w:rPr>
        <w:t>чение всего срока их выполнения;</w:t>
      </w:r>
    </w:p>
    <w:p w:rsidR="001F3708" w:rsidRPr="0006133B" w:rsidRDefault="001F3708" w:rsidP="0072111D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 xml:space="preserve">Выделить квалифицированных операторов станков с ЧПУ и программистов для инструктажа по работе на «Оборудовании». (Рекомендуемые требования к персоналу: опыт работы и программирования станков </w:t>
      </w:r>
      <w:r w:rsidR="0072111D">
        <w:rPr>
          <w:rFonts w:ascii="Times New Roman" w:hAnsi="Times New Roman" w:cs="Times New Roman"/>
          <w:sz w:val="24"/>
          <w:szCs w:val="24"/>
        </w:rPr>
        <w:t>с ЧПУ, знание компьютера);</w:t>
      </w:r>
    </w:p>
    <w:p w:rsidR="001F3708" w:rsidRPr="0006133B" w:rsidRDefault="001F3708" w:rsidP="0072111D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>Обеспечить представителей «Поставщика» возможностью неограниченного беспрепятственного пользования телефоном, факсом, Интернетом, необходимыми при проведении пуско-наладочных работ.</w:t>
      </w:r>
    </w:p>
    <w:p w:rsidR="001F3708" w:rsidRPr="0006133B" w:rsidRDefault="0072111D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7.6. Отказ или ненадлежащее исполнение «Покупателем» требований п. 7.5. является основанием для приостановления проведения пуско-наладочных работ представителями «Поставщика». В случае приостановления проведения пуско-наладочных работ представителями «Поставщика» составляется «Акт о прекращении работ» в свободной форме, где указаны причины остановки работ, и данный акт передается представителям «Покупателя». Повторный выезд представителей «Поставщика» для проведения пуско-наладочных работ оплачивается «Покупателем» отдельно на основании дополнительно выставленного счета.</w:t>
      </w:r>
    </w:p>
    <w:p w:rsidR="001F3708" w:rsidRPr="0006133B" w:rsidRDefault="0072111D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7.7. Срок проведения пуско-наладочных работ составляет не менее 3-х  календарных дней. </w:t>
      </w:r>
    </w:p>
    <w:p w:rsidR="001F3708" w:rsidRPr="0006133B" w:rsidRDefault="0072111D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7.8. Датой окончания пуско-наладочных работ и датой ввода «Оборудования» в эксплуатацию является дата подписания «Акта ввода оборудования в эксплуатацию». До подписания «Акта ввода оборудования в эксплуатацию» «Покупатель» не имеет права эксплуатировать «Оборудование».</w:t>
      </w:r>
    </w:p>
    <w:p w:rsidR="001F3708" w:rsidRPr="0006133B" w:rsidRDefault="0072111D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7.9. «Покупатель» обязан подписать «Акт ввода оборудования в эксплуатацию» в течение 2-х рабочих дней после получения вышеуказанного Акта, подписанного «Поставщиком», либо предоставить развернутое обоснование, доказывающее несоответствие «Оборудования» условиям настоящего договора. В случае не желания одной из сторон подписывать «Акт ввода оборудования в эксплуатацию» оформляется «Акт выполненных работ», в котором указываются уже выполненные работы и развернутые обоснования, доказывающее несоответствие «Оборудования» условиям настоящего договора. В случае  не </w:t>
      </w:r>
      <w:r w:rsidR="001F3708" w:rsidRPr="0006133B">
        <w:rPr>
          <w:rFonts w:ascii="Times New Roman" w:hAnsi="Times New Roman" w:cs="Times New Roman"/>
          <w:sz w:val="24"/>
          <w:szCs w:val="24"/>
        </w:rPr>
        <w:lastRenderedPageBreak/>
        <w:t xml:space="preserve">подписания «Акта ввода оборудования в эксплуатацию» и не предоставления развернутого обоснования отказа от подписания «Оборудование» считается введенным в эксплуатацию с момента получения вышеуказанного Акта «Покупателем». </w:t>
      </w:r>
    </w:p>
    <w:p w:rsidR="001F3708" w:rsidRPr="0006133B" w:rsidRDefault="0072111D" w:rsidP="0072111D">
      <w:pPr>
        <w:pStyle w:val="a3"/>
        <w:tabs>
          <w:tab w:val="num" w:pos="567"/>
        </w:tabs>
        <w:spacing w:after="0"/>
        <w:jc w:val="both"/>
      </w:pPr>
      <w:r>
        <w:tab/>
      </w:r>
      <w:r w:rsidR="001F3708" w:rsidRPr="0006133B">
        <w:t>7.10. Дополнительный инструктаж персонала Покупателя в период эксплуатации «Оборудования»  проводится по Заявкам  и за счет Покупателя  на основании дополнительного выставленного счета.</w:t>
      </w:r>
    </w:p>
    <w:p w:rsidR="00D1232E" w:rsidRDefault="00D1232E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708" w:rsidRPr="0006133B" w:rsidRDefault="001F3708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3B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1F3708" w:rsidRPr="0006133B" w:rsidRDefault="0072111D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8.1. Срок действия настоящего Договора устанавливается </w:t>
      </w:r>
      <w:proofErr w:type="gramStart"/>
      <w:r w:rsidR="001F3708" w:rsidRPr="0006133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1F3708" w:rsidRPr="0006133B">
        <w:rPr>
          <w:rFonts w:ascii="Times New Roman" w:hAnsi="Times New Roman" w:cs="Times New Roman"/>
          <w:sz w:val="24"/>
          <w:szCs w:val="24"/>
        </w:rPr>
        <w:t xml:space="preserve"> его подписания до полного исполнения сторонами своих обязательств</w:t>
      </w:r>
      <w:r w:rsidR="001C729C" w:rsidRPr="0006133B">
        <w:rPr>
          <w:rFonts w:ascii="Times New Roman" w:hAnsi="Times New Roman" w:cs="Times New Roman"/>
          <w:sz w:val="24"/>
          <w:szCs w:val="24"/>
        </w:rPr>
        <w:t xml:space="preserve">, но не позднее </w:t>
      </w:r>
      <w:r w:rsidR="00B461F0" w:rsidRPr="0006133B">
        <w:rPr>
          <w:rFonts w:ascii="Times New Roman" w:hAnsi="Times New Roman" w:cs="Times New Roman"/>
          <w:sz w:val="24"/>
          <w:szCs w:val="24"/>
        </w:rPr>
        <w:t>25.12.2015 г.</w:t>
      </w:r>
      <w:r w:rsidR="001F3708" w:rsidRPr="000613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232E" w:rsidRDefault="00D1232E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708" w:rsidRPr="0006133B" w:rsidRDefault="001F3708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3B">
        <w:rPr>
          <w:rFonts w:ascii="Times New Roman" w:hAnsi="Times New Roman" w:cs="Times New Roman"/>
          <w:b/>
          <w:sz w:val="24"/>
          <w:szCs w:val="24"/>
        </w:rPr>
        <w:t>9. ОТВЕТСТВЕННОСТЬ СТОРОН</w:t>
      </w:r>
    </w:p>
    <w:p w:rsidR="001F3708" w:rsidRPr="0006133B" w:rsidRDefault="0072111D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9.1. За неисполнение или за ненадлежащее исполнение обязательств по настоящему Договору стороны несут ответственность в соответствии с ГК РФ.</w:t>
      </w:r>
    </w:p>
    <w:p w:rsidR="001F3708" w:rsidRPr="0006133B" w:rsidRDefault="0072111D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9.2. За пропуск сроков поставки «Оборудования» «Поставщик» уплачивает «Покупателю» пени в размере 0,1% от стоимости просроченного к поставке «Оборудования» за каждую полную неделю просрочки, но не более 5% от стоимости недопоставленного «Оборудования».</w:t>
      </w:r>
    </w:p>
    <w:p w:rsidR="001F3708" w:rsidRPr="0006133B" w:rsidRDefault="0072111D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9.3. За несоблюдение сроков оплаты «Покупатель» уплачивает «Поставщику» пени в размере 0,1% от суммы просроченного платежа за каждую неделю просрочки, но не более 5% от суммы просроченного платежа.</w:t>
      </w:r>
    </w:p>
    <w:p w:rsidR="001F3708" w:rsidRPr="0006133B" w:rsidRDefault="0072111D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9.4. Предусмотренные в Договоре пени и штрафы не признаются сторонами безусловными к взысканию, а только определяют их размер. Они взыскиваются в судебном порядке и начисляются на основании решения Арбитражного суда.</w:t>
      </w:r>
    </w:p>
    <w:p w:rsidR="001F3708" w:rsidRPr="0006133B" w:rsidRDefault="0072111D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9.5. В случае отказа «Покупателя» от заказанного «Оборудования» первый авансовый платеж возврату не подлежит.</w:t>
      </w:r>
    </w:p>
    <w:p w:rsidR="001F3708" w:rsidRPr="0006133B" w:rsidRDefault="0072111D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9.6.  При пропуске «Покупателем» на любом этапе сроков оплаты продукции, ответственность «Поставщика» за просрочку поставки независимо от ее длительности исключается.</w:t>
      </w:r>
    </w:p>
    <w:p w:rsidR="00EA6908" w:rsidRPr="0006133B" w:rsidRDefault="0072111D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9.7. Стороны освобождаются от ответственности в случае наступления обстоятельств невозможности полного или частичного исполнения любой из сторон обязательств, а именно: война, военные действия любого характера, блокада, массовые беспорядки, стихийные бедствия, задержка или отказ в получении экспортной лицензии на «Оборудование» фирмой-производителем или любые другие обстоятельства, находящиеся вне контроля обеих сторон, на период действия указанных обстоятельств.</w:t>
      </w:r>
    </w:p>
    <w:p w:rsidR="00EA6908" w:rsidRPr="0006133B" w:rsidRDefault="00EA6908" w:rsidP="00C0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708" w:rsidRPr="0006133B" w:rsidRDefault="001F3708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3B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1F3708" w:rsidRPr="0006133B" w:rsidRDefault="0072111D" w:rsidP="00C07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10.1. Все споры, которые могут возникнуть из настоящего Договора или в связи с ним, будут по возможности решаться путем переговоров. В случае если стороны не придут к соглашению, дело рассматривается с обязательным соблюдением претензионного порядка в Арбитражном суде по месту нахождения ответчика. Срок ответа на претензию – 15 календарных дней.</w:t>
      </w:r>
    </w:p>
    <w:p w:rsidR="001F3708" w:rsidRPr="0006133B" w:rsidRDefault="0072111D" w:rsidP="00C07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10.2. Ни одна из сторон не вправе передавать третьим лицам права и обязанности по Договору без письменного согласия другой стороны.</w:t>
      </w:r>
    </w:p>
    <w:p w:rsidR="001F3708" w:rsidRPr="0006133B" w:rsidRDefault="0072111D" w:rsidP="00C07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10.3. Настоящий Договор составлен в двух экземплярах на русском языке, по одному для каждой из сторон. Каждый экземпляр имеет одинаковую юридическую силу.</w:t>
      </w:r>
    </w:p>
    <w:p w:rsidR="001F3708" w:rsidRPr="0006133B" w:rsidRDefault="0072111D" w:rsidP="00C07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10.4. Все приложения, упомянутые в настоящем Договоре, являются его неотъемлемой частью.</w:t>
      </w:r>
    </w:p>
    <w:p w:rsidR="001F3708" w:rsidRPr="0006133B" w:rsidRDefault="0072111D" w:rsidP="00C07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10.5. Все документы, направляемые друг другу факсимильной или электронной связью, имеют юридическую силу с обязательным обменом на подлинные документы по почте.</w:t>
      </w:r>
    </w:p>
    <w:p w:rsidR="001F3708" w:rsidRPr="0006133B" w:rsidRDefault="0072111D" w:rsidP="00C07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F3708" w:rsidRPr="0006133B">
        <w:rPr>
          <w:rFonts w:ascii="Times New Roman" w:hAnsi="Times New Roman" w:cs="Times New Roman"/>
          <w:sz w:val="24"/>
          <w:szCs w:val="24"/>
        </w:rPr>
        <w:t>10.6. После подписания настоящего Договора все переговоры и предшествующая по Договору переписка теряют силу.</w:t>
      </w:r>
    </w:p>
    <w:p w:rsidR="00D1232E" w:rsidRDefault="00D1232E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708" w:rsidRDefault="001F3708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3B">
        <w:rPr>
          <w:rFonts w:ascii="Times New Roman" w:hAnsi="Times New Roman" w:cs="Times New Roman"/>
          <w:b/>
          <w:sz w:val="24"/>
          <w:szCs w:val="24"/>
        </w:rPr>
        <w:t>11. ЮРИДИЧЕСКИЕ АДРЕСА СТОРОН</w:t>
      </w:r>
    </w:p>
    <w:p w:rsidR="0072111D" w:rsidRPr="0006133B" w:rsidRDefault="0072111D" w:rsidP="00C0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10059"/>
        <w:gridCol w:w="222"/>
      </w:tblGrid>
      <w:tr w:rsidR="001F3708" w:rsidRPr="0006133B" w:rsidTr="001F3708">
        <w:tc>
          <w:tcPr>
            <w:tcW w:w="10060" w:type="dxa"/>
            <w:shd w:val="clear" w:color="auto" w:fill="auto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843"/>
            </w:tblGrid>
            <w:tr w:rsidR="001F3708" w:rsidRPr="0006133B" w:rsidTr="001F3708">
              <w:tc>
                <w:tcPr>
                  <w:tcW w:w="5000" w:type="pct"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5008"/>
                    <w:gridCol w:w="4619"/>
                  </w:tblGrid>
                  <w:tr w:rsidR="009654A1" w:rsidRPr="00B91202" w:rsidTr="00F2667E">
                    <w:tc>
                      <w:tcPr>
                        <w:tcW w:w="2501" w:type="pct"/>
                      </w:tcPr>
                      <w:p w:rsidR="009654A1" w:rsidRPr="00B91202" w:rsidRDefault="009654A1" w:rsidP="00F2667E">
                        <w:pPr>
                          <w:keepNext/>
                          <w:spacing w:after="0" w:line="240" w:lineRule="auto"/>
                          <w:ind w:right="1308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9120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Покупатель</w:t>
                        </w:r>
                      </w:p>
                    </w:tc>
                    <w:tc>
                      <w:tcPr>
                        <w:tcW w:w="2307" w:type="pct"/>
                      </w:tcPr>
                      <w:p w:rsidR="009654A1" w:rsidRPr="00B91202" w:rsidRDefault="009654A1" w:rsidP="00F2667E">
                        <w:pPr>
                          <w:keepNext/>
                          <w:spacing w:after="0" w:line="240" w:lineRule="auto"/>
                          <w:ind w:right="1417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9120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Поставщик</w:t>
                        </w:r>
                      </w:p>
                      <w:p w:rsidR="009654A1" w:rsidRPr="00B91202" w:rsidRDefault="009654A1" w:rsidP="00F2667E">
                        <w:pPr>
                          <w:keepNext/>
                          <w:spacing w:after="0" w:line="240" w:lineRule="auto"/>
                          <w:ind w:right="141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654A1" w:rsidRPr="005F115D" w:rsidTr="00F2667E">
                    <w:tc>
                      <w:tcPr>
                        <w:tcW w:w="2501" w:type="pct"/>
                      </w:tcPr>
                      <w:p w:rsidR="009654A1" w:rsidRPr="00B91202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9120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ОАО «ФНПЦ «НИИ прикладной химии»  </w:t>
                        </w:r>
                      </w:p>
                      <w:p w:rsidR="009654A1" w:rsidRPr="00B91202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12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Адрес: 141313, Московская область, </w:t>
                        </w:r>
                      </w:p>
                      <w:p w:rsidR="009654A1" w:rsidRPr="00B91202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12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г. Сергиев Посад, ул. Академика Силина, </w:t>
                        </w:r>
                      </w:p>
                      <w:p w:rsidR="009654A1" w:rsidRPr="00B91202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12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д. 3                                                                  </w:t>
                        </w:r>
                      </w:p>
                      <w:p w:rsidR="009654A1" w:rsidRPr="00B91202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12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ИНН 5042120394 </w:t>
                        </w:r>
                      </w:p>
                      <w:p w:rsidR="009654A1" w:rsidRPr="00B91202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12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КПП 504201001              </w:t>
                        </w:r>
                      </w:p>
                      <w:p w:rsidR="009654A1" w:rsidRPr="00B91202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12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ОГРН 1115042005638                                   </w:t>
                        </w:r>
                      </w:p>
                      <w:p w:rsidR="009654A1" w:rsidRPr="00B91202" w:rsidRDefault="009654A1" w:rsidP="00F2667E">
                        <w:pPr>
                          <w:pStyle w:val="ConsPlusNonformat"/>
                          <w:widowControl w:val="0"/>
                          <w:tabs>
                            <w:tab w:val="left" w:pos="3706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12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ОКПО 07514305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9654A1" w:rsidRPr="00B91202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12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ОАО «Сбербанк России», г. Москва           </w:t>
                        </w:r>
                      </w:p>
                      <w:p w:rsidR="009654A1" w:rsidRPr="00B91202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B912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proofErr w:type="gramEnd"/>
                        <w:r w:rsidRPr="00B912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/с 40702810240380004800                           </w:t>
                        </w:r>
                      </w:p>
                      <w:p w:rsidR="009654A1" w:rsidRPr="00B91202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12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к/с 30101810400000000225                           </w:t>
                        </w:r>
                      </w:p>
                      <w:p w:rsidR="009654A1" w:rsidRPr="00B91202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12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БИК 044525225</w:t>
                        </w:r>
                      </w:p>
                      <w:p w:rsidR="009654A1" w:rsidRPr="00B91202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7" w:type="pct"/>
                      </w:tcPr>
                      <w:p w:rsidR="009654A1" w:rsidRPr="005F115D" w:rsidRDefault="009A4F96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АО «ФИНВАЛ-Индастри»</w:t>
                        </w:r>
                      </w:p>
                      <w:p w:rsidR="009A4F96" w:rsidRDefault="009654A1" w:rsidP="009A4F96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Адрес: </w:t>
                        </w:r>
                        <w:r w:rsidR="00F266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119017, г. Москва, Пыжевский переулок, д. 5, стр. 1</w:t>
                        </w:r>
                      </w:p>
                      <w:p w:rsidR="00F2667E" w:rsidRDefault="00F2667E" w:rsidP="009A4F96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ИНН 7723604871</w:t>
                        </w:r>
                      </w:p>
                      <w:p w:rsidR="00F2667E" w:rsidRDefault="00F2667E" w:rsidP="009A4F96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КПП 770601001</w:t>
                        </w:r>
                      </w:p>
                      <w:p w:rsidR="00F2667E" w:rsidRDefault="00F2667E" w:rsidP="009A4F96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ОГРН 5077746279716</w:t>
                        </w:r>
                      </w:p>
                      <w:p w:rsidR="00F2667E" w:rsidRDefault="00F2667E" w:rsidP="009A4F96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ОКПО 99627253</w:t>
                        </w:r>
                      </w:p>
                      <w:p w:rsidR="00F2667E" w:rsidRDefault="00F2667E" w:rsidP="009A4F96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«ТКБ» (ЗАО) г. Москва</w:t>
                        </w:r>
                      </w:p>
                      <w:p w:rsidR="00F2667E" w:rsidRDefault="00F2667E" w:rsidP="009A4F96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/с 407028106</w:t>
                        </w:r>
                        <w:r w:rsidR="00A75E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20070000198</w:t>
                        </w:r>
                      </w:p>
                      <w:p w:rsidR="00A75E27" w:rsidRDefault="00A75E27" w:rsidP="009A4F96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к/с 30101810800000000388</w:t>
                        </w:r>
                      </w:p>
                      <w:p w:rsidR="00A75E27" w:rsidRPr="005F115D" w:rsidRDefault="00A75E27" w:rsidP="009A4F96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БИК 044525388</w:t>
                        </w:r>
                      </w:p>
                      <w:p w:rsidR="009654A1" w:rsidRPr="005F115D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654A1" w:rsidRPr="005F115D" w:rsidTr="00F2667E">
                    <w:tc>
                      <w:tcPr>
                        <w:tcW w:w="2501" w:type="pct"/>
                      </w:tcPr>
                      <w:p w:rsidR="009654A1" w:rsidRPr="00B91202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120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от имени Покупателя:</w:t>
                        </w:r>
                        <w:r w:rsidRPr="00B912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Заместитель генерального директора </w:t>
                        </w:r>
                      </w:p>
                      <w:p w:rsidR="009654A1" w:rsidRPr="00B91202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12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ОАО «ФНПЦ «НИИ прикладной химии»</w:t>
                        </w:r>
                      </w:p>
                      <w:p w:rsidR="009654A1" w:rsidRPr="00B91202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654A1" w:rsidRPr="00B91202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12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 В.А. Подсобляев</w:t>
                        </w:r>
                      </w:p>
                      <w:p w:rsidR="009654A1" w:rsidRPr="00B91202" w:rsidRDefault="009654A1" w:rsidP="00F2667E">
                        <w:pPr>
                          <w:keepNext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912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М.П.</w:t>
                        </w:r>
                      </w:p>
                    </w:tc>
                    <w:tc>
                      <w:tcPr>
                        <w:tcW w:w="2307" w:type="pct"/>
                      </w:tcPr>
                      <w:p w:rsidR="009654A1" w:rsidRPr="005F115D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F115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от имени Поставщика:</w:t>
                        </w:r>
                        <w:r w:rsidR="009A4F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Генеральный д</w:t>
                        </w:r>
                        <w:r w:rsidRPr="005F11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иректор</w:t>
                        </w:r>
                      </w:p>
                      <w:p w:rsidR="009654A1" w:rsidRPr="005F115D" w:rsidRDefault="009A4F96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АО «ФИНВАЛ-Индастри»</w:t>
                        </w:r>
                      </w:p>
                      <w:p w:rsidR="009654A1" w:rsidRPr="005F115D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654A1" w:rsidRPr="005F115D" w:rsidRDefault="009654A1" w:rsidP="00F2667E">
                        <w:pPr>
                          <w:pStyle w:val="ConsPlusNonformat"/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F11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____________________ </w:t>
                        </w:r>
                        <w:r w:rsidR="009A4F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В.А. Ивочкин</w:t>
                        </w:r>
                      </w:p>
                      <w:p w:rsidR="009654A1" w:rsidRPr="005F115D" w:rsidRDefault="009654A1" w:rsidP="00F2667E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F11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М.П.</w:t>
                        </w:r>
                      </w:p>
                    </w:tc>
                  </w:tr>
                </w:tbl>
                <w:p w:rsidR="001F3708" w:rsidRPr="0006133B" w:rsidRDefault="001F3708" w:rsidP="00C03ADA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F3708" w:rsidRPr="0006133B" w:rsidRDefault="001F3708" w:rsidP="00C03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" w:type="dxa"/>
            <w:vAlign w:val="center"/>
          </w:tcPr>
          <w:p w:rsidR="001F3708" w:rsidRPr="0006133B" w:rsidRDefault="001F3708" w:rsidP="00C03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708" w:rsidRPr="0006133B" w:rsidTr="001F3708">
        <w:tc>
          <w:tcPr>
            <w:tcW w:w="10060" w:type="dxa"/>
            <w:shd w:val="clear" w:color="auto" w:fill="auto"/>
          </w:tcPr>
          <w:p w:rsidR="001F3708" w:rsidRPr="0006133B" w:rsidRDefault="001F3708" w:rsidP="00C0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1F3708" w:rsidRPr="0006133B" w:rsidRDefault="001F3708" w:rsidP="00C03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3708" w:rsidRPr="0006133B" w:rsidTr="001F3708">
        <w:tc>
          <w:tcPr>
            <w:tcW w:w="10060" w:type="dxa"/>
            <w:shd w:val="clear" w:color="auto" w:fill="auto"/>
          </w:tcPr>
          <w:p w:rsidR="001F3708" w:rsidRPr="0006133B" w:rsidRDefault="001F3708" w:rsidP="00C0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1F3708" w:rsidRPr="0006133B" w:rsidRDefault="001F3708" w:rsidP="00C03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708" w:rsidRPr="0006133B" w:rsidTr="001F3708">
        <w:tc>
          <w:tcPr>
            <w:tcW w:w="10060" w:type="dxa"/>
            <w:shd w:val="clear" w:color="auto" w:fill="auto"/>
          </w:tcPr>
          <w:p w:rsidR="001F3708" w:rsidRPr="0006133B" w:rsidRDefault="001F3708" w:rsidP="00C0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21" w:type="dxa"/>
          </w:tcPr>
          <w:p w:rsidR="001F3708" w:rsidRPr="0006133B" w:rsidRDefault="001F3708" w:rsidP="00C03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708" w:rsidRPr="0006133B" w:rsidTr="001F3708">
        <w:tc>
          <w:tcPr>
            <w:tcW w:w="10060" w:type="dxa"/>
            <w:shd w:val="clear" w:color="auto" w:fill="auto"/>
          </w:tcPr>
          <w:p w:rsidR="001F3708" w:rsidRPr="0006133B" w:rsidRDefault="001F3708" w:rsidP="00C0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1F3708" w:rsidRPr="0006133B" w:rsidRDefault="001F3708" w:rsidP="00C03AD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1F3708" w:rsidRPr="0006133B" w:rsidRDefault="001F3708" w:rsidP="00C03AD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058" w:rsidRPr="0006133B" w:rsidRDefault="00076058" w:rsidP="00C03AD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058" w:rsidRPr="0006133B" w:rsidRDefault="00076058" w:rsidP="00C03AD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058" w:rsidRPr="0006133B" w:rsidRDefault="00076058" w:rsidP="00C03AD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058" w:rsidRPr="0006133B" w:rsidRDefault="00076058" w:rsidP="00C03AD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058" w:rsidRPr="0006133B" w:rsidRDefault="00076058" w:rsidP="00C03AD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058" w:rsidRPr="0006133B" w:rsidRDefault="00076058" w:rsidP="00C03AD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082" w:rsidRPr="0006133B" w:rsidRDefault="00CB4082" w:rsidP="00C03AD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4AB9" w:rsidRDefault="00D34AB9" w:rsidP="00C03ADA">
      <w:pPr>
        <w:pStyle w:val="Standard"/>
        <w:ind w:left="720"/>
        <w:jc w:val="center"/>
        <w:rPr>
          <w:rFonts w:cs="Times New Roman"/>
          <w:b/>
        </w:rPr>
      </w:pPr>
    </w:p>
    <w:p w:rsidR="00D34AB9" w:rsidRDefault="00D34AB9" w:rsidP="00C03ADA">
      <w:pPr>
        <w:pStyle w:val="Standard"/>
        <w:ind w:left="720"/>
        <w:jc w:val="center"/>
        <w:rPr>
          <w:rFonts w:cs="Times New Roman"/>
          <w:b/>
        </w:rPr>
      </w:pPr>
    </w:p>
    <w:p w:rsidR="00D34AB9" w:rsidRDefault="00D34AB9" w:rsidP="00C03ADA">
      <w:pPr>
        <w:pStyle w:val="Standard"/>
        <w:ind w:left="720"/>
        <w:jc w:val="center"/>
        <w:rPr>
          <w:rFonts w:cs="Times New Roman"/>
          <w:b/>
        </w:rPr>
      </w:pPr>
    </w:p>
    <w:p w:rsidR="00D34AB9" w:rsidRDefault="00D34AB9" w:rsidP="00C03ADA">
      <w:pPr>
        <w:pStyle w:val="Standard"/>
        <w:ind w:left="720"/>
        <w:jc w:val="center"/>
        <w:rPr>
          <w:rFonts w:cs="Times New Roman"/>
          <w:b/>
        </w:rPr>
      </w:pPr>
    </w:p>
    <w:p w:rsidR="00D34AB9" w:rsidRDefault="00D34AB9" w:rsidP="00C03ADA">
      <w:pPr>
        <w:pStyle w:val="Standard"/>
        <w:ind w:left="720"/>
        <w:jc w:val="center"/>
        <w:rPr>
          <w:rFonts w:cs="Times New Roman"/>
          <w:b/>
        </w:rPr>
      </w:pPr>
    </w:p>
    <w:p w:rsidR="00D34AB9" w:rsidRDefault="00D34AB9" w:rsidP="00C03ADA">
      <w:pPr>
        <w:pStyle w:val="Standard"/>
        <w:ind w:left="720"/>
        <w:jc w:val="center"/>
        <w:rPr>
          <w:rFonts w:cs="Times New Roman"/>
          <w:b/>
        </w:rPr>
      </w:pPr>
    </w:p>
    <w:p w:rsidR="00D34AB9" w:rsidRDefault="00D34AB9" w:rsidP="00C03ADA">
      <w:pPr>
        <w:pStyle w:val="Standard"/>
        <w:ind w:left="720"/>
        <w:jc w:val="center"/>
        <w:rPr>
          <w:rFonts w:cs="Times New Roman"/>
          <w:b/>
        </w:rPr>
      </w:pPr>
    </w:p>
    <w:p w:rsidR="00D34AB9" w:rsidRDefault="00D34AB9" w:rsidP="00C03ADA">
      <w:pPr>
        <w:pStyle w:val="Standard"/>
        <w:ind w:left="720"/>
        <w:jc w:val="center"/>
        <w:rPr>
          <w:rFonts w:cs="Times New Roman"/>
          <w:b/>
        </w:rPr>
      </w:pPr>
    </w:p>
    <w:p w:rsidR="00D34AB9" w:rsidRDefault="00D34AB9" w:rsidP="00C03ADA">
      <w:pPr>
        <w:pStyle w:val="Standard"/>
        <w:ind w:left="720"/>
        <w:jc w:val="center"/>
        <w:rPr>
          <w:rFonts w:cs="Times New Roman"/>
          <w:b/>
        </w:rPr>
      </w:pPr>
    </w:p>
    <w:p w:rsidR="00D34AB9" w:rsidRDefault="00D34AB9" w:rsidP="00C03ADA">
      <w:pPr>
        <w:pStyle w:val="Standard"/>
        <w:ind w:left="720"/>
        <w:jc w:val="center"/>
        <w:rPr>
          <w:rFonts w:cs="Times New Roman"/>
          <w:b/>
        </w:rPr>
      </w:pPr>
    </w:p>
    <w:p w:rsidR="00D34AB9" w:rsidRDefault="00D34AB9" w:rsidP="00C03ADA">
      <w:pPr>
        <w:pStyle w:val="Standard"/>
        <w:ind w:left="720"/>
        <w:jc w:val="center"/>
        <w:rPr>
          <w:rFonts w:cs="Times New Roman"/>
          <w:b/>
        </w:rPr>
      </w:pPr>
    </w:p>
    <w:p w:rsidR="00D34AB9" w:rsidRDefault="00D34AB9" w:rsidP="00C03ADA">
      <w:pPr>
        <w:pStyle w:val="Standard"/>
        <w:ind w:left="720"/>
        <w:jc w:val="center"/>
        <w:rPr>
          <w:rFonts w:cs="Times New Roman"/>
          <w:b/>
        </w:rPr>
      </w:pPr>
    </w:p>
    <w:p w:rsidR="00D34AB9" w:rsidRDefault="00D34AB9" w:rsidP="00C03ADA">
      <w:pPr>
        <w:pStyle w:val="Standard"/>
        <w:ind w:left="720"/>
        <w:jc w:val="center"/>
        <w:rPr>
          <w:rFonts w:cs="Times New Roman"/>
          <w:b/>
        </w:rPr>
      </w:pPr>
    </w:p>
    <w:p w:rsidR="00D34AB9" w:rsidRDefault="00D34AB9" w:rsidP="00C03ADA">
      <w:pPr>
        <w:pStyle w:val="Standard"/>
        <w:ind w:left="720"/>
        <w:jc w:val="center"/>
        <w:rPr>
          <w:rFonts w:cs="Times New Roman"/>
          <w:b/>
        </w:rPr>
      </w:pPr>
    </w:p>
    <w:p w:rsidR="00D34AB9" w:rsidRDefault="00D34AB9" w:rsidP="00C03ADA">
      <w:pPr>
        <w:pStyle w:val="Standard"/>
        <w:ind w:left="720"/>
        <w:jc w:val="center"/>
        <w:rPr>
          <w:rFonts w:cs="Times New Roman"/>
          <w:b/>
        </w:rPr>
      </w:pPr>
    </w:p>
    <w:p w:rsidR="00D34AB9" w:rsidRPr="00D34AB9" w:rsidRDefault="00D34AB9" w:rsidP="001639C9">
      <w:pPr>
        <w:pStyle w:val="Standard"/>
        <w:spacing w:line="276" w:lineRule="auto"/>
        <w:ind w:left="720"/>
        <w:jc w:val="right"/>
        <w:rPr>
          <w:rFonts w:cs="Times New Roman"/>
        </w:rPr>
      </w:pPr>
      <w:r w:rsidRPr="00D34AB9">
        <w:rPr>
          <w:rFonts w:cs="Times New Roman"/>
        </w:rPr>
        <w:lastRenderedPageBreak/>
        <w:t>Приложение № 1</w:t>
      </w:r>
    </w:p>
    <w:p w:rsidR="00D34AB9" w:rsidRPr="00D34AB9" w:rsidRDefault="005A3019" w:rsidP="001639C9">
      <w:pPr>
        <w:pStyle w:val="Standard"/>
        <w:spacing w:line="276" w:lineRule="auto"/>
        <w:ind w:left="720"/>
        <w:jc w:val="right"/>
        <w:rPr>
          <w:rFonts w:cs="Times New Roman"/>
        </w:rPr>
      </w:pPr>
      <w:r>
        <w:rPr>
          <w:rFonts w:cs="Times New Roman"/>
        </w:rPr>
        <w:t>к</w:t>
      </w:r>
      <w:r w:rsidR="00D34AB9" w:rsidRPr="00D34AB9">
        <w:rPr>
          <w:rFonts w:cs="Times New Roman"/>
        </w:rPr>
        <w:t xml:space="preserve"> договору № 2015-5925 от 28.04.2015г.</w:t>
      </w:r>
    </w:p>
    <w:p w:rsidR="00D34AB9" w:rsidRDefault="00D34AB9" w:rsidP="001639C9">
      <w:pPr>
        <w:pStyle w:val="Standard"/>
        <w:spacing w:line="276" w:lineRule="auto"/>
        <w:jc w:val="center"/>
        <w:rPr>
          <w:rFonts w:cs="Times New Roman"/>
          <w:b/>
        </w:rPr>
      </w:pPr>
    </w:p>
    <w:p w:rsidR="00A33AB0" w:rsidRPr="0006133B" w:rsidRDefault="00A33AB0" w:rsidP="001639C9">
      <w:pPr>
        <w:pStyle w:val="Standard"/>
        <w:spacing w:line="276" w:lineRule="auto"/>
        <w:jc w:val="center"/>
        <w:rPr>
          <w:rFonts w:cs="Times New Roman"/>
          <w:b/>
        </w:rPr>
      </w:pPr>
      <w:r w:rsidRPr="0006133B">
        <w:rPr>
          <w:rFonts w:cs="Times New Roman"/>
          <w:b/>
        </w:rPr>
        <w:t>ТЕХНИЧЕСКОЕ  ЗАДАНИЕ</w:t>
      </w:r>
    </w:p>
    <w:p w:rsidR="00A33AB0" w:rsidRPr="0006133B" w:rsidRDefault="00A33AB0" w:rsidP="001639C9">
      <w:pPr>
        <w:pStyle w:val="Textbody"/>
        <w:spacing w:after="0" w:line="276" w:lineRule="auto"/>
        <w:jc w:val="center"/>
        <w:rPr>
          <w:rFonts w:cs="Times New Roman"/>
          <w:b/>
          <w:color w:val="000000"/>
        </w:rPr>
      </w:pPr>
      <w:r w:rsidRPr="0006133B">
        <w:rPr>
          <w:rFonts w:cs="Times New Roman"/>
          <w:b/>
          <w:color w:val="000000"/>
        </w:rPr>
        <w:t>на поставку</w:t>
      </w:r>
    </w:p>
    <w:p w:rsidR="00A33AB0" w:rsidRPr="0006133B" w:rsidRDefault="00A33AB0" w:rsidP="00163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3B">
        <w:rPr>
          <w:rFonts w:ascii="Times New Roman" w:hAnsi="Times New Roman" w:cs="Times New Roman"/>
          <w:b/>
          <w:sz w:val="24"/>
          <w:szCs w:val="24"/>
        </w:rPr>
        <w:t xml:space="preserve">Высокоточного токарно-фрезерного обрабатывающего центра с ЧПУ </w:t>
      </w:r>
      <w:r w:rsidRPr="0006133B">
        <w:rPr>
          <w:rFonts w:ascii="Times New Roman" w:hAnsi="Times New Roman" w:cs="Times New Roman"/>
          <w:b/>
          <w:sz w:val="24"/>
          <w:szCs w:val="24"/>
          <w:lang w:val="en-US"/>
        </w:rPr>
        <w:t>HWACHEON</w:t>
      </w:r>
      <w:r w:rsidRPr="0006133B">
        <w:rPr>
          <w:rFonts w:ascii="Times New Roman" w:hAnsi="Times New Roman" w:cs="Times New Roman"/>
          <w:b/>
          <w:sz w:val="24"/>
          <w:szCs w:val="24"/>
        </w:rPr>
        <w:t xml:space="preserve"> CUTEX 160 A MC (Ю.</w:t>
      </w:r>
      <w:r w:rsidR="0072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33B">
        <w:rPr>
          <w:rFonts w:ascii="Times New Roman" w:hAnsi="Times New Roman" w:cs="Times New Roman"/>
          <w:b/>
          <w:sz w:val="24"/>
          <w:szCs w:val="24"/>
        </w:rPr>
        <w:t>Корея) – 1 шт.</w:t>
      </w:r>
    </w:p>
    <w:p w:rsidR="00824306" w:rsidRDefault="00824306" w:rsidP="001639C9">
      <w:pPr>
        <w:pStyle w:val="ab"/>
        <w:tabs>
          <w:tab w:val="left" w:pos="360"/>
        </w:tabs>
        <w:snapToGrid w:val="0"/>
        <w:spacing w:before="0" w:after="0" w:line="276" w:lineRule="auto"/>
        <w:rPr>
          <w:b/>
          <w:bCs/>
        </w:rPr>
      </w:pPr>
    </w:p>
    <w:p w:rsidR="00A33AB0" w:rsidRPr="0006133B" w:rsidRDefault="00824306" w:rsidP="001639C9">
      <w:pPr>
        <w:pStyle w:val="ab"/>
        <w:tabs>
          <w:tab w:val="left" w:pos="567"/>
        </w:tabs>
        <w:snapToGrid w:val="0"/>
        <w:spacing w:before="0" w:after="0" w:line="276" w:lineRule="auto"/>
        <w:jc w:val="both"/>
        <w:rPr>
          <w:b/>
        </w:rPr>
      </w:pPr>
      <w:r>
        <w:rPr>
          <w:b/>
          <w:bCs/>
        </w:rPr>
        <w:tab/>
      </w:r>
      <w:r w:rsidR="00A33AB0" w:rsidRPr="0006133B">
        <w:rPr>
          <w:b/>
          <w:bCs/>
        </w:rPr>
        <w:t>1. Требования к техническим характеристикам:</w:t>
      </w: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345"/>
        <w:gridCol w:w="2939"/>
        <w:gridCol w:w="1314"/>
        <w:gridCol w:w="1251"/>
      </w:tblGrid>
      <w:tr w:rsidR="00A33AB0" w:rsidRPr="0006133B" w:rsidTr="00332E40">
        <w:trPr>
          <w:trHeight w:val="616"/>
          <w:jc w:val="center"/>
        </w:trPr>
        <w:tc>
          <w:tcPr>
            <w:tcW w:w="670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97A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45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314" w:type="dxa"/>
            <w:vAlign w:val="center"/>
          </w:tcPr>
          <w:p w:rsidR="00A33AB0" w:rsidRPr="0006133B" w:rsidRDefault="00E44E55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гаран</w:t>
            </w:r>
            <w:r w:rsidR="00A33AB0"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>тии</w:t>
            </w:r>
          </w:p>
        </w:tc>
        <w:tc>
          <w:tcPr>
            <w:tcW w:w="1251" w:type="dxa"/>
            <w:vAlign w:val="center"/>
          </w:tcPr>
          <w:p w:rsidR="00A33AB0" w:rsidRPr="0006133B" w:rsidRDefault="00A33AB0" w:rsidP="00E44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E44E55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A33AB0" w:rsidRPr="0006133B" w:rsidTr="00332E40">
        <w:trPr>
          <w:trHeight w:val="463"/>
          <w:jc w:val="center"/>
        </w:trPr>
        <w:tc>
          <w:tcPr>
            <w:tcW w:w="670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84" w:type="dxa"/>
            <w:gridSpan w:val="2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Высокоточный токарно-фрезерный обрабатывающий центр с ЧПУ </w:t>
            </w:r>
            <w:r w:rsidRPr="000613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HWACHEON</w:t>
            </w:r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CUTEX 160</w:t>
            </w:r>
            <w:proofErr w:type="gramStart"/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MC (</w:t>
            </w:r>
            <w:proofErr w:type="spellStart"/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>Ю.Корея</w:t>
            </w:r>
            <w:proofErr w:type="spellEnd"/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4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12 мес.</w:t>
            </w: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>1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обработки:</w:t>
            </w:r>
          </w:p>
        </w:tc>
        <w:tc>
          <w:tcPr>
            <w:tcW w:w="2939" w:type="dxa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Наибольший устанавливаемый диаметр над станиной, мм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Наибольший диаметр точения, мм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Наибольшая длина точения, мм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Угол наклона направляющих, град.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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диаметр прутка, мм                                                              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быстрого хода </w:t>
            </w: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, мм/мин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36/36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>Точность</w:t>
            </w:r>
            <w:r w:rsidRPr="000613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613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JIS B6330</w:t>
            </w:r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Позиционирование</w:t>
            </w: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Позиционирование </w:t>
            </w: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Позиционирование </w:t>
            </w: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, град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0.0167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Повторяемость</w:t>
            </w: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0,00</w:t>
            </w: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Повторяемость</w:t>
            </w: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0,00</w:t>
            </w: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Повторяемость</w:t>
            </w: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, град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0,001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Дискретность</w:t>
            </w:r>
            <w:proofErr w:type="gramStart"/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, град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не менее 0,001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613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Шпиндель:</w:t>
            </w:r>
          </w:p>
        </w:tc>
        <w:tc>
          <w:tcPr>
            <w:tcW w:w="2939" w:type="dxa"/>
          </w:tcPr>
          <w:p w:rsidR="00A33AB0" w:rsidRPr="0006133B" w:rsidRDefault="00A33AB0" w:rsidP="00C03ADA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Тип фланца 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А2-5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Диаметр патрона, мм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Внутренний диаметр переднего подшипника, мм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Мощность при режиме: (постоянно/30 мин.), кВт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Fanuc</w:t>
            </w:r>
            <w:proofErr w:type="spellEnd"/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β8 /8000i – 11/7,5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Скорость, об/мин.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Макс. крутящий момент, Н*м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Длина тяговой трубы, мм 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613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Револьверная инструментальная головка:</w:t>
            </w:r>
          </w:p>
        </w:tc>
        <w:tc>
          <w:tcPr>
            <w:tcW w:w="2939" w:type="dxa"/>
          </w:tcPr>
          <w:p w:rsidR="00A33AB0" w:rsidRPr="0006133B" w:rsidRDefault="00A33AB0" w:rsidP="00C03ADA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Тип револьверной головы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BMT </w:t>
            </w: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Привод револьверной головки и приводных позиций 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Серво двигатель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инструментальных позиций, в том числе приводных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Время смены инструментальной позиции</w:t>
            </w: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(1 позиция /12 позиций), сек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0,15/1</w:t>
            </w:r>
            <w:r w:rsidRPr="000613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под крепление  резца, мм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0613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под борштангу (макс.), мм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Скорость вращения приводного инструмента, </w:t>
            </w:r>
            <w:proofErr w:type="gramStart"/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proofErr w:type="gramEnd"/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/мин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5 000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Мощность при режиме: (постоянно/15 мин.), кВт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Fanuc</w:t>
            </w:r>
            <w:proofErr w:type="spellEnd"/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α2/10 000i – 3,7/2,2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Макс. крут момент, Н*м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61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Оси Х и Z:</w:t>
            </w:r>
          </w:p>
        </w:tc>
        <w:tc>
          <w:tcPr>
            <w:tcW w:w="2939" w:type="dxa"/>
          </w:tcPr>
          <w:p w:rsidR="00A33AB0" w:rsidRPr="0006133B" w:rsidRDefault="00A33AB0" w:rsidP="00C03ADA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Ход по оси Х, мм, не менее</w:t>
            </w:r>
          </w:p>
        </w:tc>
        <w:tc>
          <w:tcPr>
            <w:tcW w:w="2939" w:type="dxa"/>
            <w:vAlign w:val="bottom"/>
          </w:tcPr>
          <w:p w:rsidR="00A33AB0" w:rsidRPr="0006133B" w:rsidRDefault="00A33AB0" w:rsidP="00C03A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Ход по оси Z, мм, не менее</w:t>
            </w:r>
          </w:p>
        </w:tc>
        <w:tc>
          <w:tcPr>
            <w:tcW w:w="2939" w:type="dxa"/>
            <w:vAlign w:val="bottom"/>
          </w:tcPr>
          <w:p w:rsidR="00A33AB0" w:rsidRPr="0006133B" w:rsidRDefault="00A33AB0" w:rsidP="00C03A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Ускоренное перемещение по оси Х, м/мин, </w:t>
            </w:r>
          </w:p>
        </w:tc>
        <w:tc>
          <w:tcPr>
            <w:tcW w:w="2939" w:type="dxa"/>
            <w:vAlign w:val="bottom"/>
          </w:tcPr>
          <w:p w:rsidR="00A33AB0" w:rsidRPr="0006133B" w:rsidRDefault="00A33AB0" w:rsidP="00C03A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Ускоренное перемещение по оси Z, м/мин, </w:t>
            </w:r>
          </w:p>
        </w:tc>
        <w:tc>
          <w:tcPr>
            <w:tcW w:w="2939" w:type="dxa"/>
            <w:vAlign w:val="bottom"/>
          </w:tcPr>
          <w:p w:rsidR="00A33AB0" w:rsidRPr="0006133B" w:rsidRDefault="00A33AB0" w:rsidP="00C03A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приводов по оси Х / </w:t>
            </w: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, кВт, </w:t>
            </w:r>
          </w:p>
        </w:tc>
        <w:tc>
          <w:tcPr>
            <w:tcW w:w="2939" w:type="dxa"/>
            <w:vAlign w:val="bottom"/>
          </w:tcPr>
          <w:p w:rsidR="00A33AB0" w:rsidRPr="0006133B" w:rsidRDefault="00A33AB0" w:rsidP="00C03A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3,0 / 1,6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Диаметр ШВП по оси Х, мм</w:t>
            </w:r>
          </w:p>
        </w:tc>
        <w:tc>
          <w:tcPr>
            <w:tcW w:w="2939" w:type="dxa"/>
            <w:vAlign w:val="bottom"/>
          </w:tcPr>
          <w:p w:rsidR="00A33AB0" w:rsidRPr="0006133B" w:rsidRDefault="00A33AB0" w:rsidP="00C03A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Ø40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Диаметр ШВП по оси Z, мм</w:t>
            </w:r>
          </w:p>
        </w:tc>
        <w:tc>
          <w:tcPr>
            <w:tcW w:w="2939" w:type="dxa"/>
            <w:vAlign w:val="bottom"/>
          </w:tcPr>
          <w:p w:rsidR="00A33AB0" w:rsidRPr="0006133B" w:rsidRDefault="00A33AB0" w:rsidP="00C03A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Ø40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613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Система ЧПУ 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53224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FANUC 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Start"/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613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Габариты:</w:t>
            </w:r>
          </w:p>
        </w:tc>
        <w:tc>
          <w:tcPr>
            <w:tcW w:w="2939" w:type="dxa"/>
          </w:tcPr>
          <w:p w:rsidR="00A33AB0" w:rsidRPr="0006133B" w:rsidRDefault="00A33AB0" w:rsidP="00C03ADA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Длина/Ширина/Высота, мм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2400/160</w:t>
            </w:r>
            <w:r w:rsidRPr="000613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/1750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Вес, кг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3 300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613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Требования по питанию:</w:t>
            </w:r>
          </w:p>
        </w:tc>
        <w:tc>
          <w:tcPr>
            <w:tcW w:w="2939" w:type="dxa"/>
          </w:tcPr>
          <w:p w:rsidR="00A33AB0" w:rsidRPr="0006133B" w:rsidRDefault="00A33AB0" w:rsidP="00C03ADA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Напряжение питания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В комплект станка должен входить понижающий трансформатор с 380В   (3 фазы 50Гц) промышленной сети на 220В (3 фазы) станка.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Потребляемая мощность, </w:t>
            </w:r>
            <w:proofErr w:type="spellStart"/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2939" w:type="dxa"/>
          </w:tcPr>
          <w:p w:rsidR="00A33AB0" w:rsidRPr="0006133B" w:rsidRDefault="00A33AB0" w:rsidP="00C03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Стандартные принадлежности: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контроллер ЧПУ </w:t>
            </w:r>
            <w:proofErr w:type="spellStart"/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Fanuc</w:t>
            </w:r>
            <w:proofErr w:type="spellEnd"/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0i-TD (Япония)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диалоговое программирование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ЖК дисплей</w:t>
            </w:r>
            <w:proofErr w:type="gramEnd"/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10,4</w:t>
            </w:r>
            <w:r w:rsidRPr="0006133B">
              <w:rPr>
                <w:rFonts w:ascii="Times New Roman" w:eastAsia="Dotum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гидравлический патрон и цилиндр 6̋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33AB0" w:rsidRPr="0006133B" w:rsidTr="00EF03FD">
        <w:trPr>
          <w:trHeight w:val="639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револьверная головка ВМТ55, с функцией приводного инструмента (12 позиций)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управляемая ось</w:t>
            </w:r>
            <w:proofErr w:type="gramStart"/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(дискретность 0,001 град)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шариковые  направляющие качения по всем осям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централизованная система охлаждения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устройство привязки инструмента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установка подачи СОЖ высокого давления 6бар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уловитель готовых деталей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интерфейса для подключения </w:t>
            </w:r>
            <w:proofErr w:type="spellStart"/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барфидера</w:t>
            </w:r>
            <w:proofErr w:type="spellEnd"/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комплект из 3-х «сырых» кулачков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комп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комплект из 3-х «каленых» кулачков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комп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рабочее освещение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ножное устройство для зажима – разжима детали (патрон, пиноль)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защитное ограждение рабочей зоны, кабинетный тип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задняя бабка, управляемая 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изолированный понижающий трансформатор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устройство централизованной смазки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система гидравлики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выравнивающие болты и опоры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 xml:space="preserve">1 </w:t>
            </w:r>
            <w:r w:rsidRPr="0006133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комп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для обслуживания станка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резцедержатель для наружного точения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bookmarkEnd w:id="0"/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резцедержатель для торцевой обработки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резцедержатель расточного инструмента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осевая приводная головка (угол 0°)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угловая приводная головка (угол 90°)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цанг для приводных головок ER25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</w:t>
            </w: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25/ Ø3,Ø4,Ø5,Ø6, Ø7,Ø8 Ø9, Ø10,Ø11, Ø12, Ø13, Ø14, Ø15, Ø16 (14 штук)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2B71E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pacing w:val="-18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комп.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комплект переходных втулок 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Ø40/ Ø12,Ø16,Ø20,Ø25,Ø32, МТ</w:t>
            </w:r>
            <w:proofErr w:type="gramStart"/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,МТ2,МТ3 (8 штук)</w:t>
            </w: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2B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комп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конвейер отвода стружки – ленточный тип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2B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тележка для сбора стружки 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2B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Документация на </w:t>
            </w:r>
            <w:proofErr w:type="gramStart"/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>русском</w:t>
            </w:r>
            <w:proofErr w:type="gramEnd"/>
            <w:r w:rsidRPr="0006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языке: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2B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по установке станка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2B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по эксплуатации и программированию станка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2B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по сервисному обслуживанию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2B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33AB0" w:rsidRPr="0006133B" w:rsidTr="00EF03FD">
        <w:trPr>
          <w:trHeight w:val="463"/>
          <w:jc w:val="center"/>
        </w:trPr>
        <w:tc>
          <w:tcPr>
            <w:tcW w:w="670" w:type="dxa"/>
          </w:tcPr>
          <w:p w:rsidR="00A33AB0" w:rsidRPr="0006133B" w:rsidRDefault="00A33AB0" w:rsidP="00C03AD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33AB0" w:rsidRPr="0006133B" w:rsidRDefault="00A33AB0" w:rsidP="00EF03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bCs/>
                <w:sz w:val="24"/>
                <w:szCs w:val="24"/>
              </w:rPr>
              <w:t>каталог запасных частей</w:t>
            </w:r>
          </w:p>
        </w:tc>
        <w:tc>
          <w:tcPr>
            <w:tcW w:w="2939" w:type="dxa"/>
            <w:vAlign w:val="center"/>
          </w:tcPr>
          <w:p w:rsidR="00A33AB0" w:rsidRPr="0006133B" w:rsidRDefault="00A33AB0" w:rsidP="00C03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33AB0" w:rsidRPr="0006133B" w:rsidRDefault="00A33AB0" w:rsidP="00C03AD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33AB0" w:rsidRPr="0006133B" w:rsidRDefault="00A33AB0" w:rsidP="002B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133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A33AB0" w:rsidRPr="0006133B" w:rsidRDefault="00A33AB0" w:rsidP="00C03ADA">
      <w:pPr>
        <w:pStyle w:val="Standard"/>
        <w:jc w:val="both"/>
        <w:rPr>
          <w:rFonts w:cs="Times New Roman"/>
        </w:rPr>
      </w:pPr>
    </w:p>
    <w:p w:rsidR="00A33AB0" w:rsidRPr="0006133B" w:rsidRDefault="00A33AB0" w:rsidP="00332E40">
      <w:pPr>
        <w:pStyle w:val="Standard"/>
        <w:tabs>
          <w:tab w:val="left" w:pos="1134"/>
        </w:tabs>
        <w:spacing w:line="276" w:lineRule="auto"/>
        <w:ind w:firstLine="567"/>
        <w:jc w:val="both"/>
        <w:rPr>
          <w:rFonts w:cs="Times New Roman"/>
          <w:b/>
        </w:rPr>
      </w:pPr>
      <w:r w:rsidRPr="0006133B">
        <w:rPr>
          <w:rFonts w:cs="Times New Roman"/>
          <w:b/>
        </w:rPr>
        <w:t xml:space="preserve">2. </w:t>
      </w:r>
      <w:r w:rsidRPr="0006133B">
        <w:rPr>
          <w:rFonts w:cs="Times New Roman"/>
          <w:b/>
          <w:bCs/>
        </w:rPr>
        <w:t>Требования поставляемой продукции:</w:t>
      </w:r>
    </w:p>
    <w:p w:rsidR="00A33AB0" w:rsidRPr="0006133B" w:rsidRDefault="00A33AB0" w:rsidP="00332E40">
      <w:pPr>
        <w:pStyle w:val="Standard"/>
        <w:tabs>
          <w:tab w:val="left" w:pos="1134"/>
        </w:tabs>
        <w:spacing w:line="276" w:lineRule="auto"/>
        <w:ind w:firstLine="567"/>
        <w:jc w:val="both"/>
        <w:rPr>
          <w:rFonts w:cs="Times New Roman"/>
        </w:rPr>
      </w:pPr>
      <w:r w:rsidRPr="0006133B">
        <w:rPr>
          <w:rFonts w:cs="Times New Roman"/>
        </w:rPr>
        <w:t>2.1. Качество поставляемого Оборудования должно соответствовать требованиям ГОСТов и ТУ, паспорту завода — изготовителя, иной технической документации и подтверждается сертификатом качества фирмы — производителя, либо иной нормативно — технической документацией его заменяющей, предоставляемых при поставке.</w:t>
      </w:r>
    </w:p>
    <w:p w:rsidR="00A33AB0" w:rsidRPr="0006133B" w:rsidRDefault="00A33AB0" w:rsidP="00332E40">
      <w:pPr>
        <w:pStyle w:val="Standard"/>
        <w:tabs>
          <w:tab w:val="left" w:pos="1134"/>
        </w:tabs>
        <w:spacing w:line="276" w:lineRule="auto"/>
        <w:ind w:firstLine="567"/>
        <w:jc w:val="both"/>
        <w:rPr>
          <w:rFonts w:cs="Times New Roman"/>
        </w:rPr>
      </w:pPr>
      <w:r w:rsidRPr="0006133B">
        <w:rPr>
          <w:rFonts w:cs="Times New Roman"/>
        </w:rPr>
        <w:t>2.2. Гарантия поставляемого Оборудования — в течение не менее 12 (двенадцати) месяцев от даты ввода его в эксплуатацию.</w:t>
      </w:r>
    </w:p>
    <w:p w:rsidR="00A33AB0" w:rsidRPr="0006133B" w:rsidRDefault="00A33AB0" w:rsidP="00332E40">
      <w:pPr>
        <w:pStyle w:val="Standard"/>
        <w:tabs>
          <w:tab w:val="left" w:pos="1134"/>
        </w:tabs>
        <w:spacing w:line="276" w:lineRule="auto"/>
        <w:ind w:firstLine="567"/>
        <w:jc w:val="both"/>
        <w:rPr>
          <w:rFonts w:cs="Times New Roman"/>
        </w:rPr>
      </w:pPr>
      <w:r w:rsidRPr="0006133B">
        <w:rPr>
          <w:rFonts w:cs="Times New Roman"/>
        </w:rPr>
        <w:t>2.3. Оборудование должно отгружаться в экспортной упаковке, соответствующей характеру поставляемого оборудования и условиям перевозки автотранспортом согласно европейским требованиям.</w:t>
      </w:r>
    </w:p>
    <w:p w:rsidR="00A33AB0" w:rsidRPr="0006133B" w:rsidRDefault="00A33AB0" w:rsidP="00332E40">
      <w:pPr>
        <w:pStyle w:val="a9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>2.4. При поставке Оборудование наличие технической документации на русском языке (</w:t>
      </w:r>
      <w:proofErr w:type="gramStart"/>
      <w:r w:rsidRPr="0006133B">
        <w:rPr>
          <w:rFonts w:ascii="Times New Roman" w:hAnsi="Times New Roman" w:cs="Times New Roman"/>
          <w:sz w:val="24"/>
          <w:szCs w:val="24"/>
        </w:rPr>
        <w:t>стандартный</w:t>
      </w:r>
      <w:proofErr w:type="gramEnd"/>
      <w:r w:rsidRPr="0006133B">
        <w:rPr>
          <w:rFonts w:ascii="Times New Roman" w:hAnsi="Times New Roman" w:cs="Times New Roman"/>
          <w:sz w:val="24"/>
          <w:szCs w:val="24"/>
        </w:rPr>
        <w:t xml:space="preserve"> комплект технической документации):</w:t>
      </w:r>
    </w:p>
    <w:p w:rsidR="00A33AB0" w:rsidRPr="0006133B" w:rsidRDefault="00A33AB0" w:rsidP="00332E40">
      <w:pPr>
        <w:pStyle w:val="a9"/>
        <w:tabs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>- Инструкция по эксплуатации</w:t>
      </w:r>
      <w:r w:rsidR="000F26B6">
        <w:rPr>
          <w:rFonts w:ascii="Times New Roman" w:hAnsi="Times New Roman" w:cs="Times New Roman"/>
          <w:sz w:val="24"/>
          <w:szCs w:val="24"/>
        </w:rPr>
        <w:t>;</w:t>
      </w:r>
    </w:p>
    <w:p w:rsidR="00A33AB0" w:rsidRPr="0006133B" w:rsidRDefault="00A33AB0" w:rsidP="00332E40">
      <w:pPr>
        <w:pStyle w:val="a9"/>
        <w:tabs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>- Инструкция по программированию</w:t>
      </w:r>
      <w:r w:rsidR="000F26B6">
        <w:rPr>
          <w:rFonts w:ascii="Times New Roman" w:hAnsi="Times New Roman" w:cs="Times New Roman"/>
          <w:sz w:val="24"/>
          <w:szCs w:val="24"/>
        </w:rPr>
        <w:t>.</w:t>
      </w:r>
    </w:p>
    <w:p w:rsidR="00A33AB0" w:rsidRPr="0006133B" w:rsidRDefault="00A33AB0" w:rsidP="00332E40">
      <w:pPr>
        <w:tabs>
          <w:tab w:val="left" w:pos="1134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6133B">
        <w:rPr>
          <w:rFonts w:ascii="Times New Roman" w:hAnsi="Times New Roman" w:cs="Times New Roman"/>
          <w:b/>
          <w:sz w:val="24"/>
          <w:szCs w:val="24"/>
        </w:rPr>
        <w:t>3.  Требования к Поставщику:</w:t>
      </w:r>
    </w:p>
    <w:p w:rsidR="00A33AB0" w:rsidRPr="0006133B" w:rsidRDefault="00A33AB0" w:rsidP="00332E4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>3.1. Поставщик должен:</w:t>
      </w:r>
    </w:p>
    <w:p w:rsidR="00A33AB0" w:rsidRPr="0006133B" w:rsidRDefault="00A33AB0" w:rsidP="00332E40">
      <w:pPr>
        <w:pStyle w:val="a7"/>
        <w:numPr>
          <w:ilvl w:val="0"/>
          <w:numId w:val="4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>иметь право на эксклюзивную поставку данного оборудования на территории Российской Федерации (наличие дилерского, дистрибьюторского сер</w:t>
      </w:r>
      <w:r w:rsidR="000E10AC">
        <w:rPr>
          <w:rFonts w:ascii="Times New Roman" w:hAnsi="Times New Roman" w:cs="Times New Roman"/>
          <w:sz w:val="24"/>
          <w:szCs w:val="24"/>
        </w:rPr>
        <w:t>тификата, письма о полномочиях);</w:t>
      </w:r>
    </w:p>
    <w:p w:rsidR="00A33AB0" w:rsidRPr="0006133B" w:rsidRDefault="00A33AB0" w:rsidP="00332E40">
      <w:pPr>
        <w:pStyle w:val="a7"/>
        <w:numPr>
          <w:ilvl w:val="0"/>
          <w:numId w:val="4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>иметь собственную сервисную службу, должным образом сертифи</w:t>
      </w:r>
      <w:r w:rsidR="000E10AC">
        <w:rPr>
          <w:rFonts w:ascii="Times New Roman" w:hAnsi="Times New Roman" w:cs="Times New Roman"/>
          <w:sz w:val="24"/>
          <w:szCs w:val="24"/>
        </w:rPr>
        <w:t>цированную фирмой-изготовителем;</w:t>
      </w:r>
    </w:p>
    <w:p w:rsidR="00A33AB0" w:rsidRPr="0006133B" w:rsidRDefault="00A33AB0" w:rsidP="00332E40">
      <w:pPr>
        <w:pStyle w:val="a7"/>
        <w:numPr>
          <w:ilvl w:val="0"/>
          <w:numId w:val="4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 xml:space="preserve">иметь право на проведение пуско-наладочных работ, гарантийного обслуживания, </w:t>
      </w:r>
      <w:r w:rsidR="000F26B6" w:rsidRPr="0006133B">
        <w:rPr>
          <w:rFonts w:ascii="Times New Roman" w:hAnsi="Times New Roman" w:cs="Times New Roman"/>
          <w:sz w:val="24"/>
          <w:szCs w:val="24"/>
        </w:rPr>
        <w:t>пост гарантийного</w:t>
      </w:r>
      <w:r w:rsidRPr="0006133B">
        <w:rPr>
          <w:rFonts w:ascii="Times New Roman" w:hAnsi="Times New Roman" w:cs="Times New Roman"/>
          <w:sz w:val="24"/>
          <w:szCs w:val="24"/>
        </w:rPr>
        <w:t xml:space="preserve"> ремонта и и</w:t>
      </w:r>
      <w:r w:rsidR="000E10AC">
        <w:rPr>
          <w:rFonts w:ascii="Times New Roman" w:hAnsi="Times New Roman" w:cs="Times New Roman"/>
          <w:sz w:val="24"/>
          <w:szCs w:val="24"/>
        </w:rPr>
        <w:t>нструктажа персонала заказчика;</w:t>
      </w:r>
    </w:p>
    <w:p w:rsidR="00A33AB0" w:rsidRPr="0006133B" w:rsidRDefault="00A33AB0" w:rsidP="00332E40">
      <w:pPr>
        <w:pStyle w:val="a7"/>
        <w:numPr>
          <w:ilvl w:val="0"/>
          <w:numId w:val="4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t>иметь сертификаты об обучении сервисных инженеров, выданные фи</w:t>
      </w:r>
      <w:r w:rsidR="000E10AC">
        <w:rPr>
          <w:rFonts w:ascii="Times New Roman" w:hAnsi="Times New Roman" w:cs="Times New Roman"/>
          <w:sz w:val="24"/>
          <w:szCs w:val="24"/>
        </w:rPr>
        <w:t>рмой-изготовителем оборудования;</w:t>
      </w:r>
    </w:p>
    <w:p w:rsidR="00A33AB0" w:rsidRPr="0006133B" w:rsidRDefault="00A33AB0" w:rsidP="00332E40">
      <w:pPr>
        <w:pStyle w:val="a7"/>
        <w:numPr>
          <w:ilvl w:val="0"/>
          <w:numId w:val="4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33B">
        <w:rPr>
          <w:rFonts w:ascii="Times New Roman" w:hAnsi="Times New Roman" w:cs="Times New Roman"/>
          <w:sz w:val="24"/>
          <w:szCs w:val="24"/>
        </w:rPr>
        <w:lastRenderedPageBreak/>
        <w:t>обладать опытом поставок аналогичного предмету закупки  оборудования не менее 3-х лет.</w:t>
      </w:r>
    </w:p>
    <w:p w:rsidR="00A33AB0" w:rsidRPr="0006133B" w:rsidRDefault="00A33AB0" w:rsidP="00C03AD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AB0" w:rsidRPr="0006133B" w:rsidRDefault="00A33AB0" w:rsidP="00C03AD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AB0" w:rsidRPr="0006133B" w:rsidRDefault="00A33AB0" w:rsidP="00C03AD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AB0" w:rsidRPr="0006133B" w:rsidRDefault="00A33AB0" w:rsidP="00C03AD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AB0" w:rsidRPr="0006133B" w:rsidRDefault="00A33AB0" w:rsidP="00C03AD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AB0" w:rsidRPr="0006133B" w:rsidRDefault="00A33AB0" w:rsidP="00C03AD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AB0" w:rsidRPr="0006133B" w:rsidRDefault="00A33AB0" w:rsidP="00C03AD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AB0" w:rsidRPr="0006133B" w:rsidRDefault="00A33AB0" w:rsidP="00C03AD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AB0" w:rsidRPr="0006133B" w:rsidRDefault="00A33AB0" w:rsidP="00C03AD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73"/>
        <w:gridCol w:w="4864"/>
      </w:tblGrid>
      <w:tr w:rsidR="0025706E" w:rsidRPr="005F115D" w:rsidTr="009C6D61">
        <w:tc>
          <w:tcPr>
            <w:tcW w:w="2501" w:type="pct"/>
          </w:tcPr>
          <w:p w:rsidR="0025706E" w:rsidRPr="00B91202" w:rsidRDefault="0025706E" w:rsidP="009C6D61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02">
              <w:rPr>
                <w:rFonts w:ascii="Times New Roman" w:hAnsi="Times New Roman" w:cs="Times New Roman"/>
                <w:b/>
                <w:sz w:val="24"/>
                <w:szCs w:val="24"/>
              </w:rPr>
              <w:t>от имени Покупателя:</w:t>
            </w:r>
            <w:r w:rsidRPr="00B912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Заместитель генерального директора </w:t>
            </w:r>
          </w:p>
          <w:p w:rsidR="0025706E" w:rsidRPr="00B91202" w:rsidRDefault="0025706E" w:rsidP="009C6D61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02">
              <w:rPr>
                <w:rFonts w:ascii="Times New Roman" w:hAnsi="Times New Roman" w:cs="Times New Roman"/>
                <w:sz w:val="24"/>
                <w:szCs w:val="24"/>
              </w:rPr>
              <w:t>ОАО «ФНПЦ «НИИ прикладной химии»</w:t>
            </w:r>
          </w:p>
          <w:p w:rsidR="0025706E" w:rsidRPr="00B91202" w:rsidRDefault="0025706E" w:rsidP="009C6D61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6E" w:rsidRPr="00B91202" w:rsidRDefault="0025706E" w:rsidP="009C6D61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02">
              <w:rPr>
                <w:rFonts w:ascii="Times New Roman" w:hAnsi="Times New Roman" w:cs="Times New Roman"/>
                <w:sz w:val="24"/>
                <w:szCs w:val="24"/>
              </w:rPr>
              <w:t>__________________ В.А. Подсобляев</w:t>
            </w:r>
          </w:p>
          <w:p w:rsidR="0025706E" w:rsidRPr="00B91202" w:rsidRDefault="0025706E" w:rsidP="009C6D6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20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307" w:type="pct"/>
          </w:tcPr>
          <w:p w:rsidR="0025706E" w:rsidRPr="005F115D" w:rsidRDefault="0025706E" w:rsidP="009C6D61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15D">
              <w:rPr>
                <w:rFonts w:ascii="Times New Roman" w:hAnsi="Times New Roman" w:cs="Times New Roman"/>
                <w:b/>
                <w:sz w:val="24"/>
                <w:szCs w:val="24"/>
              </w:rPr>
              <w:t>от имени Поставщика: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Генеральный д</w:t>
            </w:r>
            <w:r w:rsidRPr="005F115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25706E" w:rsidRPr="005F115D" w:rsidRDefault="0025706E" w:rsidP="009C6D61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«ФИНВАЛ-Индастри»</w:t>
            </w:r>
          </w:p>
          <w:p w:rsidR="0025706E" w:rsidRPr="005F115D" w:rsidRDefault="0025706E" w:rsidP="009C6D61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6E" w:rsidRPr="005F115D" w:rsidRDefault="0025706E" w:rsidP="009C6D61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15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 Ивочкин</w:t>
            </w:r>
          </w:p>
          <w:p w:rsidR="0025706E" w:rsidRPr="005F115D" w:rsidRDefault="0025706E" w:rsidP="009C6D61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15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A41A7" w:rsidRPr="0006133B" w:rsidRDefault="006A41A7" w:rsidP="00C03ADA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A41A7" w:rsidRPr="0006133B" w:rsidSect="00656D13"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86" w:rsidRDefault="00583F86" w:rsidP="00B94538">
      <w:pPr>
        <w:spacing w:after="0" w:line="240" w:lineRule="auto"/>
      </w:pPr>
      <w:r>
        <w:separator/>
      </w:r>
    </w:p>
  </w:endnote>
  <w:endnote w:type="continuationSeparator" w:id="0">
    <w:p w:rsidR="00583F86" w:rsidRDefault="00583F86" w:rsidP="00B9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637765161"/>
      <w:docPartObj>
        <w:docPartGallery w:val="Page Numbers (Bottom of Page)"/>
        <w:docPartUnique/>
      </w:docPartObj>
    </w:sdtPr>
    <w:sdtContent>
      <w:p w:rsidR="00F2667E" w:rsidRPr="00B94538" w:rsidRDefault="00F2667E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9453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9453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9453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03FD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B9453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2667E" w:rsidRDefault="00F2667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86" w:rsidRDefault="00583F86" w:rsidP="00B94538">
      <w:pPr>
        <w:spacing w:after="0" w:line="240" w:lineRule="auto"/>
      </w:pPr>
      <w:r>
        <w:separator/>
      </w:r>
    </w:p>
  </w:footnote>
  <w:footnote w:type="continuationSeparator" w:id="0">
    <w:p w:rsidR="00583F86" w:rsidRDefault="00583F86" w:rsidP="00B94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1">
    <w:nsid w:val="015C511B"/>
    <w:multiLevelType w:val="hybridMultilevel"/>
    <w:tmpl w:val="6B1694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2412E83"/>
    <w:multiLevelType w:val="multilevel"/>
    <w:tmpl w:val="05E68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9B7812"/>
    <w:multiLevelType w:val="hybridMultilevel"/>
    <w:tmpl w:val="5EBCC2AA"/>
    <w:lvl w:ilvl="0" w:tplc="BABA05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14DB1"/>
    <w:multiLevelType w:val="hybridMultilevel"/>
    <w:tmpl w:val="998E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E395B"/>
    <w:multiLevelType w:val="multilevel"/>
    <w:tmpl w:val="05E68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6075C99"/>
    <w:multiLevelType w:val="multilevel"/>
    <w:tmpl w:val="05E68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B8C217F"/>
    <w:multiLevelType w:val="hybridMultilevel"/>
    <w:tmpl w:val="42C4BB5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0EA21CB2"/>
    <w:multiLevelType w:val="multilevel"/>
    <w:tmpl w:val="98BA8D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EDF442F"/>
    <w:multiLevelType w:val="multilevel"/>
    <w:tmpl w:val="1CC62618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18C4E45"/>
    <w:multiLevelType w:val="hybridMultilevel"/>
    <w:tmpl w:val="B2CA9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10039"/>
    <w:multiLevelType w:val="hybridMultilevel"/>
    <w:tmpl w:val="8DBCE4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5D1493"/>
    <w:multiLevelType w:val="hybridMultilevel"/>
    <w:tmpl w:val="F9245B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F623AD4"/>
    <w:multiLevelType w:val="hybridMultilevel"/>
    <w:tmpl w:val="CC18689A"/>
    <w:lvl w:ilvl="0" w:tplc="B308A836">
      <w:start w:val="1"/>
      <w:numFmt w:val="decimal"/>
      <w:lvlText w:val="9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D122A"/>
    <w:multiLevelType w:val="hybridMultilevel"/>
    <w:tmpl w:val="FEFE092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21C966A2"/>
    <w:multiLevelType w:val="multilevel"/>
    <w:tmpl w:val="05E68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3F53864"/>
    <w:multiLevelType w:val="hybridMultilevel"/>
    <w:tmpl w:val="E648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B13F9"/>
    <w:multiLevelType w:val="multilevel"/>
    <w:tmpl w:val="80E8C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8062E24"/>
    <w:multiLevelType w:val="multilevel"/>
    <w:tmpl w:val="05E68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C6B48D3"/>
    <w:multiLevelType w:val="multilevel"/>
    <w:tmpl w:val="BA26E4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b/>
        <w:sz w:val="22"/>
      </w:rPr>
    </w:lvl>
  </w:abstractNum>
  <w:abstractNum w:abstractNumId="20">
    <w:nsid w:val="2FA622ED"/>
    <w:multiLevelType w:val="hybridMultilevel"/>
    <w:tmpl w:val="A510E044"/>
    <w:lvl w:ilvl="0" w:tplc="5042675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i w:val="0"/>
        <w:sz w:val="24"/>
        <w:szCs w:val="24"/>
      </w:rPr>
    </w:lvl>
    <w:lvl w:ilvl="1" w:tplc="533C9904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>
    <w:nsid w:val="30461768"/>
    <w:multiLevelType w:val="hybridMultilevel"/>
    <w:tmpl w:val="68564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ABA058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F53B17"/>
    <w:multiLevelType w:val="multilevel"/>
    <w:tmpl w:val="9A16E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1F842FF"/>
    <w:multiLevelType w:val="multilevel"/>
    <w:tmpl w:val="D73485D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20A72BD"/>
    <w:multiLevelType w:val="multilevel"/>
    <w:tmpl w:val="5F0CA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1440"/>
      </w:pPr>
      <w:rPr>
        <w:rFonts w:hint="default"/>
      </w:rPr>
    </w:lvl>
  </w:abstractNum>
  <w:abstractNum w:abstractNumId="25">
    <w:nsid w:val="360C25C7"/>
    <w:multiLevelType w:val="hybridMultilevel"/>
    <w:tmpl w:val="DC92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CD08C4"/>
    <w:multiLevelType w:val="hybridMultilevel"/>
    <w:tmpl w:val="0AFCD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2A6C06"/>
    <w:multiLevelType w:val="hybridMultilevel"/>
    <w:tmpl w:val="C45A5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A462E4"/>
    <w:multiLevelType w:val="hybridMultilevel"/>
    <w:tmpl w:val="ECE23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ABA0588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42590"/>
    <w:multiLevelType w:val="hybridMultilevel"/>
    <w:tmpl w:val="8DA8D3A4"/>
    <w:lvl w:ilvl="0" w:tplc="BABA05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DE7FCE"/>
    <w:multiLevelType w:val="hybridMultilevel"/>
    <w:tmpl w:val="B6C8B312"/>
    <w:lvl w:ilvl="0" w:tplc="BABA0588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2A666D0"/>
    <w:multiLevelType w:val="hybridMultilevel"/>
    <w:tmpl w:val="ACF82CE4"/>
    <w:lvl w:ilvl="0" w:tplc="37007F72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2E97B80"/>
    <w:multiLevelType w:val="hybridMultilevel"/>
    <w:tmpl w:val="84A42F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4B20A5B"/>
    <w:multiLevelType w:val="multilevel"/>
    <w:tmpl w:val="AE9AF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4BB4950"/>
    <w:multiLevelType w:val="multilevel"/>
    <w:tmpl w:val="80E8C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D357CB7"/>
    <w:multiLevelType w:val="multilevel"/>
    <w:tmpl w:val="9FEEF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FD77EF8"/>
    <w:multiLevelType w:val="hybridMultilevel"/>
    <w:tmpl w:val="A238A5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09C0171"/>
    <w:multiLevelType w:val="hybridMultilevel"/>
    <w:tmpl w:val="12B03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7033C4"/>
    <w:multiLevelType w:val="hybridMultilevel"/>
    <w:tmpl w:val="63B69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924832"/>
    <w:multiLevelType w:val="hybridMultilevel"/>
    <w:tmpl w:val="470A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64143E"/>
    <w:multiLevelType w:val="hybridMultilevel"/>
    <w:tmpl w:val="8012BD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6FE7502D"/>
    <w:multiLevelType w:val="multilevel"/>
    <w:tmpl w:val="05E68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0263AD7"/>
    <w:multiLevelType w:val="multilevel"/>
    <w:tmpl w:val="F7E6C81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sz w:val="22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b/>
        <w:sz w:val="22"/>
      </w:rPr>
    </w:lvl>
  </w:abstractNum>
  <w:abstractNum w:abstractNumId="43">
    <w:nsid w:val="716045C3"/>
    <w:multiLevelType w:val="hybridMultilevel"/>
    <w:tmpl w:val="FCA4C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6213C9"/>
    <w:multiLevelType w:val="hybridMultilevel"/>
    <w:tmpl w:val="54FA5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810F93"/>
    <w:multiLevelType w:val="hybridMultilevel"/>
    <w:tmpl w:val="364C6CBC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6">
    <w:nsid w:val="77D756A6"/>
    <w:multiLevelType w:val="hybridMultilevel"/>
    <w:tmpl w:val="CCB8406E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7">
    <w:nsid w:val="7DCF4323"/>
    <w:multiLevelType w:val="multilevel"/>
    <w:tmpl w:val="9C2E3B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num w:numId="1">
    <w:abstractNumId w:val="34"/>
  </w:num>
  <w:num w:numId="2">
    <w:abstractNumId w:val="10"/>
  </w:num>
  <w:num w:numId="3">
    <w:abstractNumId w:val="15"/>
  </w:num>
  <w:num w:numId="4">
    <w:abstractNumId w:val="7"/>
  </w:num>
  <w:num w:numId="5">
    <w:abstractNumId w:val="4"/>
  </w:num>
  <w:num w:numId="6">
    <w:abstractNumId w:val="32"/>
  </w:num>
  <w:num w:numId="7">
    <w:abstractNumId w:val="18"/>
  </w:num>
  <w:num w:numId="8">
    <w:abstractNumId w:val="5"/>
  </w:num>
  <w:num w:numId="9">
    <w:abstractNumId w:val="6"/>
  </w:num>
  <w:num w:numId="10">
    <w:abstractNumId w:val="41"/>
  </w:num>
  <w:num w:numId="11">
    <w:abstractNumId w:val="2"/>
  </w:num>
  <w:num w:numId="12">
    <w:abstractNumId w:val="12"/>
  </w:num>
  <w:num w:numId="13">
    <w:abstractNumId w:val="36"/>
  </w:num>
  <w:num w:numId="14">
    <w:abstractNumId w:val="45"/>
  </w:num>
  <w:num w:numId="15">
    <w:abstractNumId w:val="1"/>
  </w:num>
  <w:num w:numId="16">
    <w:abstractNumId w:val="8"/>
  </w:num>
  <w:num w:numId="17">
    <w:abstractNumId w:val="28"/>
  </w:num>
  <w:num w:numId="18">
    <w:abstractNumId w:val="26"/>
  </w:num>
  <w:num w:numId="19">
    <w:abstractNumId w:val="35"/>
  </w:num>
  <w:num w:numId="20">
    <w:abstractNumId w:val="0"/>
    <w:lvlOverride w:ilvl="0">
      <w:startOverride w:val="1"/>
    </w:lvlOverride>
  </w:num>
  <w:num w:numId="21">
    <w:abstractNumId w:val="39"/>
  </w:num>
  <w:num w:numId="22">
    <w:abstractNumId w:val="16"/>
  </w:num>
  <w:num w:numId="23">
    <w:abstractNumId w:val="13"/>
  </w:num>
  <w:num w:numId="24">
    <w:abstractNumId w:val="33"/>
  </w:num>
  <w:num w:numId="25">
    <w:abstractNumId w:val="22"/>
  </w:num>
  <w:num w:numId="26">
    <w:abstractNumId w:val="42"/>
  </w:num>
  <w:num w:numId="27">
    <w:abstractNumId w:val="9"/>
  </w:num>
  <w:num w:numId="28">
    <w:abstractNumId w:val="23"/>
  </w:num>
  <w:num w:numId="29">
    <w:abstractNumId w:val="40"/>
  </w:num>
  <w:num w:numId="30">
    <w:abstractNumId w:val="19"/>
  </w:num>
  <w:num w:numId="31">
    <w:abstractNumId w:val="11"/>
  </w:num>
  <w:num w:numId="32">
    <w:abstractNumId w:val="27"/>
  </w:num>
  <w:num w:numId="33">
    <w:abstractNumId w:val="25"/>
  </w:num>
  <w:num w:numId="34">
    <w:abstractNumId w:val="38"/>
  </w:num>
  <w:num w:numId="35">
    <w:abstractNumId w:val="21"/>
  </w:num>
  <w:num w:numId="36">
    <w:abstractNumId w:val="29"/>
  </w:num>
  <w:num w:numId="37">
    <w:abstractNumId w:val="3"/>
  </w:num>
  <w:num w:numId="38">
    <w:abstractNumId w:val="30"/>
  </w:num>
  <w:num w:numId="39">
    <w:abstractNumId w:val="47"/>
  </w:num>
  <w:num w:numId="40">
    <w:abstractNumId w:val="31"/>
  </w:num>
  <w:num w:numId="41">
    <w:abstractNumId w:val="46"/>
  </w:num>
  <w:num w:numId="42">
    <w:abstractNumId w:val="20"/>
  </w:num>
  <w:num w:numId="43">
    <w:abstractNumId w:val="24"/>
  </w:num>
  <w:num w:numId="44">
    <w:abstractNumId w:val="17"/>
  </w:num>
  <w:num w:numId="45">
    <w:abstractNumId w:val="37"/>
  </w:num>
  <w:num w:numId="46">
    <w:abstractNumId w:val="14"/>
  </w:num>
  <w:num w:numId="47">
    <w:abstractNumId w:val="44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B3"/>
    <w:rsid w:val="000174B0"/>
    <w:rsid w:val="00042B22"/>
    <w:rsid w:val="00051808"/>
    <w:rsid w:val="0006133B"/>
    <w:rsid w:val="00063936"/>
    <w:rsid w:val="00067FFC"/>
    <w:rsid w:val="00076058"/>
    <w:rsid w:val="000800D5"/>
    <w:rsid w:val="00080192"/>
    <w:rsid w:val="00084545"/>
    <w:rsid w:val="000872B3"/>
    <w:rsid w:val="00091912"/>
    <w:rsid w:val="000A7E72"/>
    <w:rsid w:val="000B448E"/>
    <w:rsid w:val="000C0359"/>
    <w:rsid w:val="000C19FB"/>
    <w:rsid w:val="000C2974"/>
    <w:rsid w:val="000C7BA9"/>
    <w:rsid w:val="000D4C4C"/>
    <w:rsid w:val="000E00FE"/>
    <w:rsid w:val="000E0B91"/>
    <w:rsid w:val="000E10AC"/>
    <w:rsid w:val="000F26B6"/>
    <w:rsid w:val="000F6631"/>
    <w:rsid w:val="000F6AE0"/>
    <w:rsid w:val="00100A69"/>
    <w:rsid w:val="00105230"/>
    <w:rsid w:val="0014798D"/>
    <w:rsid w:val="001639C9"/>
    <w:rsid w:val="00166175"/>
    <w:rsid w:val="00166626"/>
    <w:rsid w:val="00167384"/>
    <w:rsid w:val="001710CD"/>
    <w:rsid w:val="00184ED9"/>
    <w:rsid w:val="00187879"/>
    <w:rsid w:val="0019393F"/>
    <w:rsid w:val="001A0535"/>
    <w:rsid w:val="001A3C3A"/>
    <w:rsid w:val="001A6EBB"/>
    <w:rsid w:val="001B6A9E"/>
    <w:rsid w:val="001C3B3A"/>
    <w:rsid w:val="001C699E"/>
    <w:rsid w:val="001C729C"/>
    <w:rsid w:val="001D1C34"/>
    <w:rsid w:val="001D2BC4"/>
    <w:rsid w:val="001D370B"/>
    <w:rsid w:val="001D5F37"/>
    <w:rsid w:val="001F217E"/>
    <w:rsid w:val="001F3708"/>
    <w:rsid w:val="001F39D6"/>
    <w:rsid w:val="00206B13"/>
    <w:rsid w:val="00207E0B"/>
    <w:rsid w:val="0021574B"/>
    <w:rsid w:val="002238DF"/>
    <w:rsid w:val="00232A6A"/>
    <w:rsid w:val="002331F8"/>
    <w:rsid w:val="002477F1"/>
    <w:rsid w:val="00252E13"/>
    <w:rsid w:val="0025706E"/>
    <w:rsid w:val="0026467C"/>
    <w:rsid w:val="00265375"/>
    <w:rsid w:val="0027299B"/>
    <w:rsid w:val="00280FAD"/>
    <w:rsid w:val="00297811"/>
    <w:rsid w:val="002B71E1"/>
    <w:rsid w:val="002C1CEF"/>
    <w:rsid w:val="002C59CC"/>
    <w:rsid w:val="002C5F5E"/>
    <w:rsid w:val="002C6634"/>
    <w:rsid w:val="002D4DF2"/>
    <w:rsid w:val="002E0AAF"/>
    <w:rsid w:val="002E5054"/>
    <w:rsid w:val="002F41D7"/>
    <w:rsid w:val="002F4E2D"/>
    <w:rsid w:val="00301C0C"/>
    <w:rsid w:val="0030795D"/>
    <w:rsid w:val="0031107D"/>
    <w:rsid w:val="00314679"/>
    <w:rsid w:val="00332E40"/>
    <w:rsid w:val="00334D5A"/>
    <w:rsid w:val="00346C5B"/>
    <w:rsid w:val="00394B3D"/>
    <w:rsid w:val="00397AA3"/>
    <w:rsid w:val="003A3A7C"/>
    <w:rsid w:val="003C5D98"/>
    <w:rsid w:val="003C60CE"/>
    <w:rsid w:val="003D279B"/>
    <w:rsid w:val="003F69E9"/>
    <w:rsid w:val="00406471"/>
    <w:rsid w:val="00406510"/>
    <w:rsid w:val="00411D2A"/>
    <w:rsid w:val="0041385D"/>
    <w:rsid w:val="004224CF"/>
    <w:rsid w:val="004233E3"/>
    <w:rsid w:val="004411B7"/>
    <w:rsid w:val="004434EE"/>
    <w:rsid w:val="004654B6"/>
    <w:rsid w:val="00466C6C"/>
    <w:rsid w:val="00473881"/>
    <w:rsid w:val="00473A11"/>
    <w:rsid w:val="00473BBC"/>
    <w:rsid w:val="004774C3"/>
    <w:rsid w:val="00487EBA"/>
    <w:rsid w:val="004A01BB"/>
    <w:rsid w:val="004A3510"/>
    <w:rsid w:val="004B57B6"/>
    <w:rsid w:val="004C5862"/>
    <w:rsid w:val="004D1EDC"/>
    <w:rsid w:val="004D236D"/>
    <w:rsid w:val="004D5284"/>
    <w:rsid w:val="004E10D7"/>
    <w:rsid w:val="004F05A6"/>
    <w:rsid w:val="005102A2"/>
    <w:rsid w:val="00514829"/>
    <w:rsid w:val="00521A4E"/>
    <w:rsid w:val="00532248"/>
    <w:rsid w:val="0053516B"/>
    <w:rsid w:val="00537F3C"/>
    <w:rsid w:val="005427EF"/>
    <w:rsid w:val="00543B1F"/>
    <w:rsid w:val="00544719"/>
    <w:rsid w:val="00544CC9"/>
    <w:rsid w:val="00551929"/>
    <w:rsid w:val="00552CE0"/>
    <w:rsid w:val="00556E19"/>
    <w:rsid w:val="00557D8C"/>
    <w:rsid w:val="005627E4"/>
    <w:rsid w:val="005825D5"/>
    <w:rsid w:val="00583F86"/>
    <w:rsid w:val="00594413"/>
    <w:rsid w:val="00597FA2"/>
    <w:rsid w:val="005A3019"/>
    <w:rsid w:val="005B100D"/>
    <w:rsid w:val="005B342C"/>
    <w:rsid w:val="005C4778"/>
    <w:rsid w:val="005D0588"/>
    <w:rsid w:val="005D19A5"/>
    <w:rsid w:val="005D4614"/>
    <w:rsid w:val="005D6284"/>
    <w:rsid w:val="005E3F5F"/>
    <w:rsid w:val="005F121F"/>
    <w:rsid w:val="00602D1C"/>
    <w:rsid w:val="00602ECB"/>
    <w:rsid w:val="00621CC2"/>
    <w:rsid w:val="00622094"/>
    <w:rsid w:val="00623B2C"/>
    <w:rsid w:val="006256F0"/>
    <w:rsid w:val="00634E2F"/>
    <w:rsid w:val="00640D52"/>
    <w:rsid w:val="00641423"/>
    <w:rsid w:val="00642605"/>
    <w:rsid w:val="00656D13"/>
    <w:rsid w:val="00670DFF"/>
    <w:rsid w:val="0067470C"/>
    <w:rsid w:val="00675262"/>
    <w:rsid w:val="00680289"/>
    <w:rsid w:val="0068492A"/>
    <w:rsid w:val="00685839"/>
    <w:rsid w:val="0069474A"/>
    <w:rsid w:val="006955C2"/>
    <w:rsid w:val="006A41A7"/>
    <w:rsid w:val="006B32EF"/>
    <w:rsid w:val="006C44EC"/>
    <w:rsid w:val="006C5116"/>
    <w:rsid w:val="006D0A90"/>
    <w:rsid w:val="006D2451"/>
    <w:rsid w:val="006F23F5"/>
    <w:rsid w:val="006F3809"/>
    <w:rsid w:val="0070077E"/>
    <w:rsid w:val="0071075E"/>
    <w:rsid w:val="00714660"/>
    <w:rsid w:val="007200EF"/>
    <w:rsid w:val="0072111D"/>
    <w:rsid w:val="007242B8"/>
    <w:rsid w:val="00731E3F"/>
    <w:rsid w:val="00734CEE"/>
    <w:rsid w:val="0074763E"/>
    <w:rsid w:val="00756CD1"/>
    <w:rsid w:val="0076659D"/>
    <w:rsid w:val="007801CC"/>
    <w:rsid w:val="00785D2A"/>
    <w:rsid w:val="0078701D"/>
    <w:rsid w:val="00787ECA"/>
    <w:rsid w:val="00797F63"/>
    <w:rsid w:val="007A2717"/>
    <w:rsid w:val="007C072F"/>
    <w:rsid w:val="007C15AE"/>
    <w:rsid w:val="007D1314"/>
    <w:rsid w:val="00802FB7"/>
    <w:rsid w:val="00810E96"/>
    <w:rsid w:val="0081232C"/>
    <w:rsid w:val="00820614"/>
    <w:rsid w:val="00824306"/>
    <w:rsid w:val="008260A4"/>
    <w:rsid w:val="00827E45"/>
    <w:rsid w:val="008322FB"/>
    <w:rsid w:val="00840B04"/>
    <w:rsid w:val="008565EB"/>
    <w:rsid w:val="00866784"/>
    <w:rsid w:val="00867C75"/>
    <w:rsid w:val="008A5E9B"/>
    <w:rsid w:val="008A60E6"/>
    <w:rsid w:val="008B69F1"/>
    <w:rsid w:val="008C1604"/>
    <w:rsid w:val="008C310E"/>
    <w:rsid w:val="008C6D99"/>
    <w:rsid w:val="008D2DBE"/>
    <w:rsid w:val="008D34F1"/>
    <w:rsid w:val="008D4014"/>
    <w:rsid w:val="008D5A0F"/>
    <w:rsid w:val="008E6DC9"/>
    <w:rsid w:val="008E794D"/>
    <w:rsid w:val="00907C19"/>
    <w:rsid w:val="00934BB8"/>
    <w:rsid w:val="009351F5"/>
    <w:rsid w:val="00950464"/>
    <w:rsid w:val="009522B2"/>
    <w:rsid w:val="00956FF4"/>
    <w:rsid w:val="009654A1"/>
    <w:rsid w:val="00971712"/>
    <w:rsid w:val="0098282B"/>
    <w:rsid w:val="00983FB5"/>
    <w:rsid w:val="0098551F"/>
    <w:rsid w:val="0098597A"/>
    <w:rsid w:val="009859F9"/>
    <w:rsid w:val="00986408"/>
    <w:rsid w:val="00991CC1"/>
    <w:rsid w:val="009976AF"/>
    <w:rsid w:val="009A4F96"/>
    <w:rsid w:val="009A5AAF"/>
    <w:rsid w:val="009B70CD"/>
    <w:rsid w:val="009C1FD8"/>
    <w:rsid w:val="009C278D"/>
    <w:rsid w:val="009C2F97"/>
    <w:rsid w:val="009D3262"/>
    <w:rsid w:val="009E09C9"/>
    <w:rsid w:val="009E3077"/>
    <w:rsid w:val="009F19BB"/>
    <w:rsid w:val="009F1DAD"/>
    <w:rsid w:val="009F3778"/>
    <w:rsid w:val="009F5FA8"/>
    <w:rsid w:val="00A06841"/>
    <w:rsid w:val="00A12660"/>
    <w:rsid w:val="00A15438"/>
    <w:rsid w:val="00A20DCA"/>
    <w:rsid w:val="00A27E76"/>
    <w:rsid w:val="00A31D4C"/>
    <w:rsid w:val="00A33AB0"/>
    <w:rsid w:val="00A421C4"/>
    <w:rsid w:val="00A44DEC"/>
    <w:rsid w:val="00A64F33"/>
    <w:rsid w:val="00A66335"/>
    <w:rsid w:val="00A700B5"/>
    <w:rsid w:val="00A75E27"/>
    <w:rsid w:val="00A849D7"/>
    <w:rsid w:val="00AA2AD4"/>
    <w:rsid w:val="00AC264D"/>
    <w:rsid w:val="00AC4B90"/>
    <w:rsid w:val="00AC6730"/>
    <w:rsid w:val="00AD59C5"/>
    <w:rsid w:val="00AD7E7F"/>
    <w:rsid w:val="00AE2D23"/>
    <w:rsid w:val="00AF35AA"/>
    <w:rsid w:val="00B00AEE"/>
    <w:rsid w:val="00B209AA"/>
    <w:rsid w:val="00B2284A"/>
    <w:rsid w:val="00B277A8"/>
    <w:rsid w:val="00B35790"/>
    <w:rsid w:val="00B4088D"/>
    <w:rsid w:val="00B4448D"/>
    <w:rsid w:val="00B44A86"/>
    <w:rsid w:val="00B461F0"/>
    <w:rsid w:val="00B5007E"/>
    <w:rsid w:val="00B52185"/>
    <w:rsid w:val="00B528F7"/>
    <w:rsid w:val="00B52974"/>
    <w:rsid w:val="00B52B29"/>
    <w:rsid w:val="00B6131F"/>
    <w:rsid w:val="00B663ED"/>
    <w:rsid w:val="00B729FE"/>
    <w:rsid w:val="00B829DE"/>
    <w:rsid w:val="00B85B7F"/>
    <w:rsid w:val="00B94538"/>
    <w:rsid w:val="00BA7841"/>
    <w:rsid w:val="00BA79D6"/>
    <w:rsid w:val="00BC0285"/>
    <w:rsid w:val="00BD455C"/>
    <w:rsid w:val="00BE10D6"/>
    <w:rsid w:val="00BE62E3"/>
    <w:rsid w:val="00BE7BE7"/>
    <w:rsid w:val="00BE7E35"/>
    <w:rsid w:val="00C00C19"/>
    <w:rsid w:val="00C03ADA"/>
    <w:rsid w:val="00C070F5"/>
    <w:rsid w:val="00C10436"/>
    <w:rsid w:val="00C20464"/>
    <w:rsid w:val="00C33FBC"/>
    <w:rsid w:val="00C4115E"/>
    <w:rsid w:val="00C47221"/>
    <w:rsid w:val="00C63D23"/>
    <w:rsid w:val="00C74A82"/>
    <w:rsid w:val="00C8667B"/>
    <w:rsid w:val="00C95B91"/>
    <w:rsid w:val="00C97302"/>
    <w:rsid w:val="00C976BB"/>
    <w:rsid w:val="00CB4082"/>
    <w:rsid w:val="00CB76E9"/>
    <w:rsid w:val="00CD1EB6"/>
    <w:rsid w:val="00CE2E3B"/>
    <w:rsid w:val="00CE38E7"/>
    <w:rsid w:val="00CE6A04"/>
    <w:rsid w:val="00D07D5C"/>
    <w:rsid w:val="00D1232E"/>
    <w:rsid w:val="00D26577"/>
    <w:rsid w:val="00D34AB9"/>
    <w:rsid w:val="00D3645B"/>
    <w:rsid w:val="00D4621B"/>
    <w:rsid w:val="00D47E66"/>
    <w:rsid w:val="00D61572"/>
    <w:rsid w:val="00D66779"/>
    <w:rsid w:val="00D8487E"/>
    <w:rsid w:val="00D868CC"/>
    <w:rsid w:val="00D942A1"/>
    <w:rsid w:val="00D9700F"/>
    <w:rsid w:val="00DA0470"/>
    <w:rsid w:val="00DA1DFC"/>
    <w:rsid w:val="00DA2FFB"/>
    <w:rsid w:val="00DA4EF4"/>
    <w:rsid w:val="00DA56B4"/>
    <w:rsid w:val="00DB1F4D"/>
    <w:rsid w:val="00DB5078"/>
    <w:rsid w:val="00DC22FC"/>
    <w:rsid w:val="00DE1C04"/>
    <w:rsid w:val="00DF07EA"/>
    <w:rsid w:val="00E021B6"/>
    <w:rsid w:val="00E0306A"/>
    <w:rsid w:val="00E054CB"/>
    <w:rsid w:val="00E07B25"/>
    <w:rsid w:val="00E22BD7"/>
    <w:rsid w:val="00E24BFC"/>
    <w:rsid w:val="00E31C23"/>
    <w:rsid w:val="00E32C4B"/>
    <w:rsid w:val="00E333E8"/>
    <w:rsid w:val="00E349F9"/>
    <w:rsid w:val="00E35361"/>
    <w:rsid w:val="00E36BBA"/>
    <w:rsid w:val="00E42BE1"/>
    <w:rsid w:val="00E44E55"/>
    <w:rsid w:val="00E47610"/>
    <w:rsid w:val="00E53189"/>
    <w:rsid w:val="00E6138C"/>
    <w:rsid w:val="00E639F5"/>
    <w:rsid w:val="00E64A45"/>
    <w:rsid w:val="00E66977"/>
    <w:rsid w:val="00E76A7E"/>
    <w:rsid w:val="00E8548F"/>
    <w:rsid w:val="00E95F67"/>
    <w:rsid w:val="00EA1631"/>
    <w:rsid w:val="00EA461B"/>
    <w:rsid w:val="00EA6613"/>
    <w:rsid w:val="00EA6908"/>
    <w:rsid w:val="00EA6FA9"/>
    <w:rsid w:val="00EB36BB"/>
    <w:rsid w:val="00EC153F"/>
    <w:rsid w:val="00ED2091"/>
    <w:rsid w:val="00ED3DC6"/>
    <w:rsid w:val="00EE0E8E"/>
    <w:rsid w:val="00EE51B7"/>
    <w:rsid w:val="00EF03FD"/>
    <w:rsid w:val="00F059D7"/>
    <w:rsid w:val="00F07207"/>
    <w:rsid w:val="00F21C61"/>
    <w:rsid w:val="00F2667E"/>
    <w:rsid w:val="00F26D92"/>
    <w:rsid w:val="00F36CD0"/>
    <w:rsid w:val="00F41241"/>
    <w:rsid w:val="00F47889"/>
    <w:rsid w:val="00F56DD8"/>
    <w:rsid w:val="00F838F2"/>
    <w:rsid w:val="00F850AA"/>
    <w:rsid w:val="00F8515B"/>
    <w:rsid w:val="00F85ACF"/>
    <w:rsid w:val="00F8776F"/>
    <w:rsid w:val="00F90493"/>
    <w:rsid w:val="00F909BD"/>
    <w:rsid w:val="00FA33A7"/>
    <w:rsid w:val="00FB09AA"/>
    <w:rsid w:val="00FB0DF0"/>
    <w:rsid w:val="00FB22BC"/>
    <w:rsid w:val="00FB24FD"/>
    <w:rsid w:val="00FB3B2F"/>
    <w:rsid w:val="00FB55D2"/>
    <w:rsid w:val="00FB5B7B"/>
    <w:rsid w:val="00FC1B53"/>
    <w:rsid w:val="00FD3EB1"/>
    <w:rsid w:val="00FE1820"/>
    <w:rsid w:val="00FE5BE7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78"/>
  </w:style>
  <w:style w:type="paragraph" w:styleId="1">
    <w:name w:val="heading 1"/>
    <w:basedOn w:val="a"/>
    <w:next w:val="a"/>
    <w:link w:val="10"/>
    <w:uiPriority w:val="99"/>
    <w:qFormat/>
    <w:rsid w:val="000872B3"/>
    <w:pPr>
      <w:keepNext/>
      <w:overflowPunct w:val="0"/>
      <w:autoSpaceDE w:val="0"/>
      <w:autoSpaceDN w:val="0"/>
      <w:adjustRightInd w:val="0"/>
      <w:spacing w:before="240" w:after="60" w:line="360" w:lineRule="auto"/>
      <w:ind w:firstLine="709"/>
      <w:jc w:val="center"/>
      <w:textAlignment w:val="baseline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72B3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aliases w:val="Список 1 Знак Знак Знак Знак Знак Знак,Список 1 Знак Знак Знак Знак Знак"/>
    <w:basedOn w:val="a"/>
    <w:link w:val="a4"/>
    <w:uiPriority w:val="99"/>
    <w:rsid w:val="000872B3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Список 1 Знак Знак Знак Знак Знак Знак Знак,Список 1 Знак Знак Знак Знак Знак Знак1"/>
    <w:basedOn w:val="a0"/>
    <w:link w:val="a3"/>
    <w:uiPriority w:val="99"/>
    <w:rsid w:val="000872B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rsid w:val="000872B3"/>
    <w:rPr>
      <w:color w:val="0000FF"/>
      <w:u w:val="single"/>
    </w:rPr>
  </w:style>
  <w:style w:type="paragraph" w:customStyle="1" w:styleId="ConsPlusNonformat">
    <w:name w:val="ConsPlusNonformat"/>
    <w:uiPriority w:val="99"/>
    <w:rsid w:val="000872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6D245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801CC"/>
    <w:pPr>
      <w:ind w:left="720"/>
      <w:contextualSpacing/>
    </w:pPr>
  </w:style>
  <w:style w:type="table" w:styleId="a8">
    <w:name w:val="Table Grid"/>
    <w:basedOn w:val="a1"/>
    <w:uiPriority w:val="59"/>
    <w:rsid w:val="00FE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1">
    <w:name w:val="itemtext1"/>
    <w:basedOn w:val="a0"/>
    <w:rsid w:val="00AC264D"/>
    <w:rPr>
      <w:rFonts w:ascii="Segoe UI" w:hAnsi="Segoe UI" w:cs="Segoe UI" w:hint="default"/>
      <w:color w:val="000000"/>
      <w:sz w:val="20"/>
      <w:szCs w:val="20"/>
    </w:rPr>
  </w:style>
  <w:style w:type="character" w:customStyle="1" w:styleId="apple-style-span">
    <w:name w:val="apple-style-span"/>
    <w:rsid w:val="00A700B5"/>
  </w:style>
  <w:style w:type="paragraph" w:styleId="a9">
    <w:name w:val="No Spacing"/>
    <w:uiPriority w:val="1"/>
    <w:qFormat/>
    <w:rsid w:val="003C60C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B5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Базовый"/>
    <w:rsid w:val="00983FB5"/>
    <w:pPr>
      <w:tabs>
        <w:tab w:val="left" w:pos="708"/>
      </w:tabs>
      <w:suppressAutoHyphens/>
    </w:pPr>
    <w:rPr>
      <w:rFonts w:ascii="Calibri" w:eastAsia="Arial Unicode MS" w:hAnsi="Calibri"/>
      <w:color w:val="00000A"/>
    </w:rPr>
  </w:style>
  <w:style w:type="paragraph" w:customStyle="1" w:styleId="Standard">
    <w:name w:val="Standard"/>
    <w:rsid w:val="00956F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56FF4"/>
    <w:pPr>
      <w:spacing w:after="120"/>
    </w:pPr>
  </w:style>
  <w:style w:type="paragraph" w:styleId="ab">
    <w:name w:val="Normal (Web)"/>
    <w:basedOn w:val="Standard"/>
    <w:uiPriority w:val="99"/>
    <w:rsid w:val="00956FF4"/>
    <w:pPr>
      <w:spacing w:before="280" w:after="280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unhideWhenUsed/>
    <w:rsid w:val="00B9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4538"/>
  </w:style>
  <w:style w:type="paragraph" w:styleId="ae">
    <w:name w:val="footer"/>
    <w:basedOn w:val="a"/>
    <w:link w:val="af"/>
    <w:uiPriority w:val="99"/>
    <w:unhideWhenUsed/>
    <w:rsid w:val="00B9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4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78"/>
  </w:style>
  <w:style w:type="paragraph" w:styleId="1">
    <w:name w:val="heading 1"/>
    <w:basedOn w:val="a"/>
    <w:next w:val="a"/>
    <w:link w:val="10"/>
    <w:uiPriority w:val="99"/>
    <w:qFormat/>
    <w:rsid w:val="000872B3"/>
    <w:pPr>
      <w:keepNext/>
      <w:overflowPunct w:val="0"/>
      <w:autoSpaceDE w:val="0"/>
      <w:autoSpaceDN w:val="0"/>
      <w:adjustRightInd w:val="0"/>
      <w:spacing w:before="240" w:after="60" w:line="360" w:lineRule="auto"/>
      <w:ind w:firstLine="709"/>
      <w:jc w:val="center"/>
      <w:textAlignment w:val="baseline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72B3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aliases w:val="Список 1 Знак Знак Знак Знак Знак Знак,Список 1 Знак Знак Знак Знак Знак"/>
    <w:basedOn w:val="a"/>
    <w:link w:val="a4"/>
    <w:uiPriority w:val="99"/>
    <w:rsid w:val="000872B3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Список 1 Знак Знак Знак Знак Знак Знак Знак,Список 1 Знак Знак Знак Знак Знак Знак1"/>
    <w:basedOn w:val="a0"/>
    <w:link w:val="a3"/>
    <w:uiPriority w:val="99"/>
    <w:rsid w:val="000872B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rsid w:val="000872B3"/>
    <w:rPr>
      <w:color w:val="0000FF"/>
      <w:u w:val="single"/>
    </w:rPr>
  </w:style>
  <w:style w:type="paragraph" w:customStyle="1" w:styleId="ConsPlusNonformat">
    <w:name w:val="ConsPlusNonformat"/>
    <w:uiPriority w:val="99"/>
    <w:rsid w:val="000872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6D245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801CC"/>
    <w:pPr>
      <w:ind w:left="720"/>
      <w:contextualSpacing/>
    </w:pPr>
  </w:style>
  <w:style w:type="table" w:styleId="a8">
    <w:name w:val="Table Grid"/>
    <w:basedOn w:val="a1"/>
    <w:uiPriority w:val="59"/>
    <w:rsid w:val="00FE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1">
    <w:name w:val="itemtext1"/>
    <w:basedOn w:val="a0"/>
    <w:rsid w:val="00AC264D"/>
    <w:rPr>
      <w:rFonts w:ascii="Segoe UI" w:hAnsi="Segoe UI" w:cs="Segoe UI" w:hint="default"/>
      <w:color w:val="000000"/>
      <w:sz w:val="20"/>
      <w:szCs w:val="20"/>
    </w:rPr>
  </w:style>
  <w:style w:type="character" w:customStyle="1" w:styleId="apple-style-span">
    <w:name w:val="apple-style-span"/>
    <w:rsid w:val="00A700B5"/>
  </w:style>
  <w:style w:type="paragraph" w:styleId="a9">
    <w:name w:val="No Spacing"/>
    <w:uiPriority w:val="1"/>
    <w:qFormat/>
    <w:rsid w:val="003C60C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B5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Базовый"/>
    <w:rsid w:val="00983FB5"/>
    <w:pPr>
      <w:tabs>
        <w:tab w:val="left" w:pos="708"/>
      </w:tabs>
      <w:suppressAutoHyphens/>
    </w:pPr>
    <w:rPr>
      <w:rFonts w:ascii="Calibri" w:eastAsia="Arial Unicode MS" w:hAnsi="Calibri"/>
      <w:color w:val="00000A"/>
    </w:rPr>
  </w:style>
  <w:style w:type="paragraph" w:customStyle="1" w:styleId="Standard">
    <w:name w:val="Standard"/>
    <w:rsid w:val="00956F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56FF4"/>
    <w:pPr>
      <w:spacing w:after="120"/>
    </w:pPr>
  </w:style>
  <w:style w:type="paragraph" w:styleId="ab">
    <w:name w:val="Normal (Web)"/>
    <w:basedOn w:val="Standard"/>
    <w:uiPriority w:val="99"/>
    <w:rsid w:val="00956FF4"/>
    <w:pPr>
      <w:spacing w:before="280" w:after="280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unhideWhenUsed/>
    <w:rsid w:val="00B9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4538"/>
  </w:style>
  <w:style w:type="paragraph" w:styleId="ae">
    <w:name w:val="footer"/>
    <w:basedOn w:val="a"/>
    <w:link w:val="af"/>
    <w:uiPriority w:val="99"/>
    <w:unhideWhenUsed/>
    <w:rsid w:val="00B9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9E14-FC47-4049-ACA6-5A521362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11</Pages>
  <Words>3575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Сергей Сергеевич</dc:creator>
  <cp:lastModifiedBy>Чирикова Татьяна Михайловна</cp:lastModifiedBy>
  <cp:revision>97</cp:revision>
  <dcterms:created xsi:type="dcterms:W3CDTF">2015-04-28T05:39:00Z</dcterms:created>
  <dcterms:modified xsi:type="dcterms:W3CDTF">2015-04-28T13:08:00Z</dcterms:modified>
</cp:coreProperties>
</file>